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Guide to the Madrid System</w:t>
      </w:r>
    </w:p>
    <w:p>
      <w:r>
        <w:rPr>
          <w:i/>
          <w:color w:val="555555"/>
          <w:sz w:val="24"/>
        </w:rPr>
        <w:t>International Registration of Marks under the Madrid Protocol (WIPO, updated 2024)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What it is</w:t>
      </w:r>
    </w:p>
    <w:p>
      <w:pPr>
        <w:spacing w:after="120"/>
      </w:pPr>
      <w:r>
        <w:t>A WIPO-administered system allowing the owner of a trademark to obtain protection in multiple member countries/regions by filing a single international application, in one language, with one set of fees, through their national/regional trademark office (the 'Office of origin').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How it works (Chapter II - users' perspective)</w:t>
      </w:r>
    </w:p>
    <w:p>
      <w:pPr>
        <w:pStyle w:val="ListBullet"/>
        <w:spacing w:after="40"/>
      </w:pPr>
      <w:r>
        <w:t>Basic requirement: applicant must already have a 'basic mark' - a pending application or existing registration - in their home ('Office of origin') trademark office.</w:t>
      </w:r>
    </w:p>
    <w:p>
      <w:pPr>
        <w:pStyle w:val="ListBullet"/>
        <w:spacing w:after="40"/>
      </w:pPr>
      <w:r>
        <w:t>Filing: the international application is filed through the Office of origin, which certifies that the international application corresponds to the basic mark, then forwards it to WIPO's International Bureau.</w:t>
      </w:r>
    </w:p>
    <w:p>
      <w:pPr>
        <w:pStyle w:val="ListBullet"/>
        <w:spacing w:after="40"/>
      </w:pPr>
      <w:r>
        <w:t>International registration: WIPO records the mark in the International Register and publishes it in the WIPO Gazette of International Marks; it then notifies each designated contracting party (country/region chosen for protection).</w:t>
      </w:r>
    </w:p>
    <w:p>
      <w:pPr>
        <w:pStyle w:val="ListBullet"/>
        <w:spacing w:after="40"/>
      </w:pPr>
      <w:r>
        <w:t>National examination: each designated office examines the mark under its own domestic law and may refuse protection within a set time limit (12 or 18 months) - if no refusal is issued, the mark is protected there as if directly registered.</w:t>
      </w:r>
    </w:p>
    <w:p>
      <w:pPr>
        <w:pStyle w:val="ListBullet"/>
        <w:spacing w:after="40"/>
      </w:pPr>
      <w:r>
        <w:t>Term: an international registration is valid for 10 years, renewable indefinitely for further 10-year periods, directly at WIPO (no need to renew separately in each country).</w:t>
      </w:r>
    </w:p>
    <w:p>
      <w:pPr>
        <w:pStyle w:val="ListBullet"/>
        <w:spacing w:after="40"/>
      </w:pPr>
      <w:r>
        <w:t>Dependency ('central attack'): for the first 5 years, the international registration remains dependent on the basic mark - if the basic mark is cancelled/refused/withdrawn, the international registration falls with it (though it can be 'transformed' into national applications in each designated country, retaining the original filing date).</w:t>
      </w:r>
    </w:p>
    <w:p>
      <w:pPr>
        <w:pStyle w:val="ListBullet"/>
        <w:spacing w:after="40"/>
      </w:pPr>
      <w:r>
        <w:t>Subsequent designation: protection can be extended to further contracting parties after the initial registration, without refiling the whole application.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Structure of the Guide</w:t>
      </w:r>
    </w:p>
    <w:p>
      <w:pPr>
        <w:pStyle w:val="ListBullet"/>
        <w:spacing w:after="40"/>
      </w:pPr>
      <w:r>
        <w:t>Chapter I: Introduction - general overview, advantages of the Madrid System.</w:t>
      </w:r>
    </w:p>
    <w:p>
      <w:pPr>
        <w:pStyle w:val="ListBullet"/>
        <w:spacing w:after="40"/>
      </w:pPr>
      <w:r>
        <w:t>Chapter II: The Madrid System from the users' perspective - the practical filing/registration/renewal procedure (summarised above).</w:t>
      </w:r>
    </w:p>
    <w:p>
      <w:pPr>
        <w:pStyle w:val="ListBullet"/>
        <w:spacing w:after="40"/>
      </w:pPr>
      <w:r>
        <w:t>Chapter III: Guide for Offices of members of the Madrid System - procedural guide for national IP offices administering incoming/outgoing Madrid applications.</w:t>
      </w:r>
    </w:p>
    <w:p>
      <w:pPr>
        <w:pStyle w:val="ListBullet"/>
        <w:spacing w:after="40"/>
      </w:pPr>
      <w:r>
        <w:t>Chapter IV: Becoming a member of the Protocol.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Relevance</w:t>
      </w:r>
    </w:p>
    <w:p>
      <w:pPr>
        <w:spacing w:after="120"/>
      </w:pPr>
      <w:r>
        <w:t>Directly analogous to the PCT but for trademarks - relevant for Ayurvedic/herbal brands seeking cost-effective multi-country trademark protection alongside GI and patent strategies.</w:t>
      </w:r>
    </w:p>
    <w:p/>
    <w:p>
      <w:r>
        <w:rPr>
          <w:i/>
          <w:color w:val="555555"/>
          <w:sz w:val="20"/>
        </w:rPr>
        <w:t>Note: Source: WIPO Guide to the Madrid System (270 pages) - overview of Chapters I-IV.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