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Guide to the Hague System</w:t>
      </w:r>
    </w:p>
    <w:p>
      <w:r>
        <w:rPr>
          <w:i/>
          <w:color w:val="555555"/>
          <w:sz w:val="24"/>
        </w:rPr>
        <w:t>International Registration of Designs under the Hague Agreement (WIPO, Dec 2025)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What it is</w:t>
      </w:r>
    </w:p>
    <w:p>
      <w:pPr>
        <w:spacing w:after="120"/>
      </w:pPr>
      <w:r>
        <w:t>A WIPO-administered system, analogous to the Madrid System for trademarks and the PCT for patents, that allows an applicant to protect an industrial design in multiple countries/regions through a single international application filed directly with WIPO's International Bureau (or via an eligible national/regional office).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How it works</w:t>
      </w:r>
    </w:p>
    <w:p>
      <w:pPr>
        <w:pStyle w:val="ListBullet"/>
        <w:spacing w:after="40"/>
      </w:pPr>
      <w:r>
        <w:t>Unlike Madrid, the Hague System does not require a prior 'basic' national design registration/application - an applicant can file the international application directly.</w:t>
      </w:r>
    </w:p>
    <w:p>
      <w:pPr>
        <w:pStyle w:val="ListBullet"/>
        <w:spacing w:after="40"/>
      </w:pPr>
      <w:r>
        <w:t>A single international application can include multiple designs (up to 100, subject to a same-class rule), each designating one or more of the contracting parties where protection is sought.</w:t>
      </w:r>
    </w:p>
    <w:p>
      <w:pPr>
        <w:pStyle w:val="ListBullet"/>
        <w:spacing w:after="40"/>
      </w:pPr>
      <w:r>
        <w:t>International registration: WIPO records the design in the International Register and publishes it in the International Designs Bulletin (immediately or after a permissible deferment of publication).</w:t>
      </w:r>
    </w:p>
    <w:p>
      <w:pPr>
        <w:pStyle w:val="ListBullet"/>
        <w:spacing w:after="40"/>
      </w:pPr>
      <w:r>
        <w:t>Each designated contracting party then examines (if it has a substantive-examination system) and may refuse protection within a prescribed time limit (6 or 12 months); absent refusal, the design is protected as if registered directly there.</w:t>
      </w:r>
    </w:p>
    <w:p>
      <w:pPr>
        <w:pStyle w:val="ListBullet"/>
        <w:spacing w:after="40"/>
      </w:pPr>
      <w:r>
        <w:t>Term: initial 5-year term, renewable in blocks of 5 years, up to the maximum term allowed under each designated party's domestic law (subject to a Hague Agreement ceiling).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Structure of the Guide</w:t>
      </w:r>
    </w:p>
    <w:p>
      <w:pPr>
        <w:pStyle w:val="ListBullet"/>
        <w:spacing w:after="40"/>
      </w:pPr>
      <w:r>
        <w:t>Chapter I: Introduction - general overview, advantages of the Hague System.</w:t>
      </w:r>
    </w:p>
    <w:p>
      <w:pPr>
        <w:pStyle w:val="ListBullet"/>
        <w:spacing w:after="40"/>
      </w:pPr>
      <w:r>
        <w:t>Chapter II: Becoming party to the Hague Agreement.</w:t>
      </w:r>
    </w:p>
    <w:p>
      <w:pPr>
        <w:pStyle w:val="ListBullet"/>
        <w:spacing w:after="40"/>
      </w:pPr>
      <w:r>
        <w:t>Chapter III: General information.</w:t>
      </w:r>
    </w:p>
    <w:p>
      <w:pPr>
        <w:pStyle w:val="ListBullet"/>
        <w:spacing w:after="40"/>
      </w:pPr>
      <w:r>
        <w:t>Chapter IV: Filing an international application.</w:t>
      </w:r>
    </w:p>
    <w:p>
      <w:pPr>
        <w:pStyle w:val="ListBullet"/>
        <w:spacing w:after="40"/>
      </w:pPr>
      <w:r>
        <w:t>Chapter V: International registration.</w:t>
      </w:r>
    </w:p>
    <w:p>
      <w:pPr>
        <w:pStyle w:val="ListBullet"/>
        <w:spacing w:after="40"/>
      </w:pPr>
      <w:r>
        <w:t>Chapter VI: Changes and renewals.</w:t>
      </w:r>
    </w:p>
    <w:p>
      <w:pPr>
        <w:pStyle w:val="ListBullet"/>
        <w:spacing w:after="40"/>
      </w:pPr>
      <w:r>
        <w:t>Chapter VII: London Act (1934) and Hague Act (1960) - legacy Acts of the Agreement, largely superseded by the 1999 Geneva Act now in common use.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Relevance</w:t>
      </w:r>
    </w:p>
    <w:p>
      <w:pPr>
        <w:spacing w:after="120"/>
      </w:pPr>
      <w:r>
        <w:t>India is not yet a member of the Hague Agreement (as of this guide's date), but the system is studied comparatively alongside India's own Designs Act, 2000 (file 05) as the international counterpart for industrial-design filing strategy.</w:t>
      </w:r>
    </w:p>
    <w:p/>
    <w:p>
      <w:r>
        <w:rPr>
          <w:i/>
          <w:color w:val="555555"/>
          <w:sz w:val="20"/>
        </w:rPr>
        <w:t>Note: Source: WIPO Guide to the Hague System (102 pages) - overview of Chapters I-VII.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