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4"/>
        </w:rPr>
        <w:t>Botanical Drug Development - Guidance for Industry</w:t>
      </w:r>
    </w:p>
    <w:p>
      <w:r>
        <w:rPr>
          <w:i/>
          <w:color w:val="555555"/>
          <w:sz w:val="24"/>
        </w:rPr>
        <w:t>U.S. FDA, Center for Drug Evaluation and Research (CDER), Dec 2016, Revision 1</w:t>
      </w:r>
    </w:p>
    <w:p>
      <w:pPr>
        <w:spacing w:after="120"/>
        <w:pBdr>
          <w:bottom w:val="single" w:sz="8" w:space="1" w:color="1F3A5F"/>
        </w:pBdr>
      </w:pPr>
    </w:p>
    <w:p>
      <w:pPr>
        <w:pStyle w:val="Heading1"/>
        <w:spacing w:before="280" w:after="80"/>
      </w:pPr>
      <w:r>
        <w:rPr>
          <w:color w:val="1F3A5F"/>
          <w:sz w:val="30"/>
        </w:rPr>
        <w:t>What it is</w:t>
      </w:r>
    </w:p>
    <w:p>
      <w:pPr>
        <w:spacing w:after="120"/>
      </w:pPr>
      <w:r>
        <w:t>US FDA guidance (non-binding, but reflects current FDA thinking) on developing botanical products - including traditional/herbal remedies - into approved prescription or OTC 'botanical drugs', through the standard IND (Investigational New Drug) and NDA (New Drug Application) pathway.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Key concepts</w:t>
      </w:r>
    </w:p>
    <w:p>
      <w:pPr>
        <w:pStyle w:val="ListBullet"/>
        <w:spacing w:after="40"/>
      </w:pPr>
      <w:r>
        <w:t>'Botanical drug': a drug product derived from plant materials, algae, macroscopic fungi or combinations - can range from crude, minimally processed plant material to more purified/characterized botanical drug substances.</w:t>
      </w:r>
    </w:p>
    <w:p>
      <w:pPr>
        <w:pStyle w:val="ListBullet"/>
        <w:spacing w:after="40"/>
      </w:pPr>
      <w:r>
        <w:t>Recognises that botanical drugs are often chemically complex mixtures (unlike single-molecule synthetic drugs), so full chemical characterisation of every constituent is not always required before clinical development, provided quality/consistency is controlled.</w:t>
      </w:r>
    </w:p>
    <w:p>
      <w:pPr>
        <w:pStyle w:val="ListBullet"/>
        <w:spacing w:after="40"/>
      </w:pPr>
      <w:r>
        <w:t>Allows a reduced non-clinical (toxicology) data package for Phase 1/2 trials where there is a documented history of prior human use of the botanical (e.g. traditional/marketed use), subject to safety caveats.</w:t>
      </w:r>
    </w:p>
    <w:p>
      <w:pPr>
        <w:pStyle w:val="ListBullet"/>
        <w:spacing w:after="40"/>
      </w:pPr>
      <w:r>
        <w:t>Chemistry, Manufacturing &amp; Controls (CMC) emphasis: because botanicals are complex mixtures, consistent raw-material sourcing/identification (botanical/geographic/harvest specifications), process controls, and batch-to-batch consistency testing (e.g. chromatographic fingerprinting) become central to quality assurance instead of relying solely on single-molecule potency assays.</w:t>
      </w:r>
    </w:p>
    <w:p>
      <w:pPr>
        <w:pStyle w:val="ListBullet"/>
        <w:spacing w:after="40"/>
      </w:pPr>
      <w:r>
        <w:t>The same rigorous efficacy/safety evidentiary standard (adequate, well-controlled clinical trials) applies for final marketing approval as for any other drug - the relaxed early-stage requirements are a development-pathway accommodation, not a lower approval bar.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Relevance to IP/TK theme</w:t>
      </w:r>
    </w:p>
    <w:p>
      <w:pPr>
        <w:spacing w:after="120"/>
      </w:pPr>
      <w:r>
        <w:t>Provides the US regulatory template that Ayurvedic/herbal drug developers must navigate to move traditional formulations into the US pharmaceutical market - directly parallel to India's own ASU drug licensing under the Drugs and Cosmetics Act (file 10) and to the EMA's herbal guideline (file 22b).</w:t>
      </w:r>
    </w:p>
    <w:p/>
    <w:p>
      <w:r>
        <w:rPr>
          <w:i/>
          <w:color w:val="555555"/>
          <w:sz w:val="20"/>
        </w:rPr>
        <w:t>Note: Source: FDA guidance document (34 pages) - key themes.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