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Guideline on Declaration of Herbal Substances and Herbal Preparations in Herbal Medicinal Products / Traditional Herbal Medicinal Products</w:t>
      </w:r>
    </w:p>
    <w:p>
      <w:r>
        <w:rPr>
          <w:i/>
          <w:color w:val="555555"/>
          <w:sz w:val="24"/>
        </w:rPr>
        <w:t>European Medicines Agency (EMA), HMPC/CHMP/CVMP - Revision 2 (2026)</w:t>
      </w:r>
    </w:p>
    <w:p>
      <w:pPr>
        <w:spacing w:after="120"/>
        <w:pBdr>
          <w:bottom w:val="single" w:sz="8" w:space="1" w:color="1F3A5F"/>
        </w:pBdr>
      </w:pPr>
    </w:p>
    <w:p>
      <w:pPr>
        <w:pStyle w:val="Heading1"/>
        <w:spacing w:before="280" w:after="80"/>
      </w:pPr>
      <w:r>
        <w:rPr>
          <w:color w:val="1F3A5F"/>
          <w:sz w:val="30"/>
        </w:rPr>
        <w:t>What it is</w:t>
      </w:r>
    </w:p>
    <w:p>
      <w:pPr>
        <w:spacing w:after="120"/>
      </w:pPr>
      <w:r>
        <w:t>A European regulatory guideline (developed by EMA's Committee on Herbal Medicinal Products - HMPC - together with the human and veterinary medicines committees) specifying how herbal substances and herbal preparations must be named/declared on labelling and in product information for both full 'herbal medicinal products' and simplified-registration 'traditional herbal medicinal products' in the EU.</w:t>
      </w:r>
    </w:p>
    <w:p>
      <w:pPr>
        <w:pStyle w:val="Heading1"/>
        <w:spacing w:before="280" w:after="80"/>
      </w:pPr>
      <w:r>
        <w:rPr>
          <w:color w:val="1F3A5F"/>
          <w:sz w:val="30"/>
        </w:rPr>
        <w:t>Key concepts</w:t>
      </w:r>
    </w:p>
    <w:p>
      <w:pPr>
        <w:pStyle w:val="ListBullet"/>
        <w:spacing w:after="40"/>
      </w:pPr>
      <w:r>
        <w:t>Distinguishes 'herbal substance' (the plant material itself - whole, fragmented or cut plants, algae, fungi, lichen, usually unprocessed and typically dried) from 'herbal preparation' (the product obtained by subjecting herbal substances to processes such as extraction, distillation, expression, fractionation, purification, concentration or fermentation).</w:t>
      </w:r>
    </w:p>
    <w:p>
      <w:pPr>
        <w:pStyle w:val="ListBullet"/>
        <w:spacing w:after="40"/>
      </w:pPr>
      <w:r>
        <w:t>Requires declaration to specify the botanical/scientific (Latin binomial) name of the source plant, the plant part used, and (for preparations) the type of preparation and the extraction/solvent ratio (e.g. drug-extract ratio, DER).</w:t>
      </w:r>
    </w:p>
    <w:p>
      <w:pPr>
        <w:pStyle w:val="ListBullet"/>
        <w:spacing w:after="40"/>
      </w:pPr>
      <w:r>
        <w:t>Aims for consistent, unambiguous naming across EU member states so that consumers, prescribers and regulators can identify exactly which herbal material and processing method is in a given product - important because different plant parts/extraction methods can have very different pharmacological profiles even from the 'same' plant.</w:t>
      </w:r>
    </w:p>
    <w:p>
      <w:pPr>
        <w:pStyle w:val="Heading1"/>
        <w:spacing w:before="280" w:after="80"/>
      </w:pPr>
      <w:r>
        <w:rPr>
          <w:color w:val="1F3A5F"/>
          <w:sz w:val="30"/>
        </w:rPr>
        <w:t>Relevance to IP/TK theme</w:t>
      </w:r>
    </w:p>
    <w:p>
      <w:pPr>
        <w:spacing w:after="120"/>
      </w:pPr>
      <w:r>
        <w:t>Precise botanical/preparation declaration is the EU counterpart to the FDA's CMC/quality-control emphasis (file 22a) and is essential groundwork for any Indian Ayurvedic/herbal exporter seeking 'traditional herbal medicinal product' registration in the EU - and reinforces, from a different angle, why accurate source/species identification matters for both regulatory approval and TK-related patent disclosure obligations (files 08, 17).</w:t>
      </w:r>
    </w:p>
    <w:p/>
    <w:p>
      <w:r>
        <w:rPr>
          <w:i/>
          <w:color w:val="555555"/>
          <w:sz w:val="20"/>
        </w:rPr>
        <w:t>Note: Source: EMA guideline document (21 pages) - key themes.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