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14C3">
      <w:pPr>
        <w:jc w:val="center"/>
        <w:rPr>
          <w:rFonts w:hint="eastAsia"/>
        </w:rPr>
      </w:pPr>
      <w:r>
        <w:rPr>
          <w:rFonts w:hint="eastAsia"/>
        </w:rPr>
        <w:t>厚度（m）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分数</w:t>
      </w:r>
    </w:p>
    <w:p w14:paraId="69F518AD">
      <w:pPr>
        <w:jc w:val="center"/>
        <w:rPr>
          <w:rFonts w:hint="eastAsia"/>
        </w:rPr>
      </w:pPr>
      <w:r>
        <w:rPr>
          <w:rFonts w:hint="eastAsia"/>
        </w:rPr>
        <w:t>≥ 1000</w:t>
      </w:r>
      <w:r>
        <w:rPr>
          <w:rFonts w:hint="eastAsia"/>
        </w:rPr>
        <w:tab/>
      </w:r>
      <w:r>
        <w:rPr>
          <w:rFonts w:hint="eastAsia"/>
        </w:rPr>
        <w:t xml:space="preserve">                1.00</w:t>
      </w:r>
    </w:p>
    <w:p w14:paraId="294D2E18">
      <w:pPr>
        <w:jc w:val="center"/>
        <w:rPr>
          <w:rFonts w:hint="eastAsia"/>
        </w:rPr>
      </w:pPr>
      <w:r>
        <w:rPr>
          <w:rFonts w:hint="eastAsia"/>
        </w:rPr>
        <w:t>500 ~ 1000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0.75</w:t>
      </w:r>
    </w:p>
    <w:p w14:paraId="7BF7F2DF">
      <w:pPr>
        <w:jc w:val="center"/>
        <w:rPr>
          <w:rFonts w:hint="eastAsia"/>
        </w:rPr>
      </w:pPr>
      <w:r>
        <w:rPr>
          <w:rFonts w:hint="eastAsia"/>
        </w:rPr>
        <w:t>200 ~ 500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0.50</w:t>
      </w:r>
    </w:p>
    <w:p w14:paraId="122EF36A">
      <w:pPr>
        <w:ind w:firstLine="2730" w:firstLineChars="1300"/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&lt; 200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</w:t>
      </w:r>
      <w:bookmarkStart w:id="0" w:name="_GoBack"/>
      <w:bookmarkEnd w:id="0"/>
      <w:r>
        <w:rPr>
          <w:rFonts w:hint="eastAsia"/>
          <w:lang w:val="en-US" w:eastAsia="zh-CN"/>
        </w:rPr>
        <w:t>0.25</w:t>
      </w:r>
      <w:r>
        <w:rPr>
          <w:rFonts w:hint="eastAsia"/>
        </w:rPr>
        <w:t xml:space="preserve">  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92880"/>
            <wp:effectExtent l="0" t="0" r="13970" b="0"/>
            <wp:docPr id="4" name="图片 4" descr="48d09a313b1944cafc8da49d5e9f7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8d09a313b1944cafc8da49d5e9f7a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D34B">
      <w:pPr>
        <w:jc w:val="center"/>
      </w:pPr>
      <w:r>
        <w:rPr>
          <w:rFonts w:hint="eastAsia"/>
        </w:rPr>
        <w:t>图1.</w:t>
      </w:r>
      <w:r>
        <w:rPr>
          <w:rFonts w:hint="eastAsia"/>
          <w:lang w:val="en-US" w:eastAsia="zh-CN"/>
        </w:rPr>
        <w:t>寒武系烃源岩厚度</w:t>
      </w:r>
      <w:r>
        <w:t>插值图</w:t>
      </w:r>
    </w:p>
    <w:p w14:paraId="5F93B927">
      <w:pPr>
        <w:ind w:firstLine="420" w:firstLineChars="200"/>
      </w:pPr>
      <w:r>
        <w:rPr>
          <w:rFonts w:hint="eastAsia"/>
        </w:rPr>
        <w:t>根据该地区</w:t>
      </w:r>
      <w:r>
        <w:rPr>
          <w:rFonts w:hint="eastAsia"/>
          <w:lang w:val="en-US" w:eastAsia="zh-CN"/>
        </w:rPr>
        <w:t>寒武系烃源岩厚度</w:t>
      </w:r>
      <w:r>
        <w:rPr>
          <w:rFonts w:hint="eastAsia"/>
        </w:rPr>
        <w:t>分布，</w:t>
      </w:r>
      <w:r>
        <w:t>对</w:t>
      </w:r>
      <w:r>
        <w:rPr>
          <w:rFonts w:hint="eastAsia"/>
        </w:rPr>
        <w:t>该数据</w:t>
      </w:r>
      <w:r>
        <w:t>进行数字化处理</w:t>
      </w:r>
      <w:r>
        <w:rPr>
          <w:rFonts w:hint="eastAsia"/>
        </w:rPr>
        <w:t>。</w:t>
      </w:r>
      <w:r>
        <w:t>将数据导入MATLAB后，</w:t>
      </w:r>
      <w:r>
        <w:rPr>
          <w:rFonts w:hint="eastAsia"/>
        </w:rPr>
        <w:t>进行空间插值分析。</w:t>
      </w:r>
      <w:r>
        <w:t>在研究区范围内建立</w:t>
      </w:r>
      <w:r>
        <w:rPr>
          <w:rFonts w:hint="eastAsia"/>
          <w:lang w:val="en-US" w:eastAsia="zh-CN"/>
        </w:rPr>
        <w:t>10</w:t>
      </w:r>
      <w:r>
        <w:t>00×</w:t>
      </w:r>
      <w:r>
        <w:rPr>
          <w:rFonts w:hint="eastAsia"/>
          <w:lang w:val="en-US" w:eastAsia="zh-CN"/>
        </w:rPr>
        <w:t>10</w:t>
      </w:r>
      <w:r>
        <w:t>00的规则网格，采用 griddata 函数的自然邻域插值方法，将</w:t>
      </w:r>
      <w:r>
        <w:rPr>
          <w:rFonts w:hint="eastAsia"/>
          <w:lang w:val="en-US" w:eastAsia="zh-CN"/>
        </w:rPr>
        <w:t>烃源岩厚度</w:t>
      </w:r>
      <w:r>
        <w:rPr>
          <w:rFonts w:hint="eastAsia"/>
        </w:rPr>
        <w:t>离散</w:t>
      </w:r>
      <w:r>
        <w:t>数据转换为连续</w:t>
      </w:r>
      <w:r>
        <w:rPr>
          <w:rFonts w:hint="eastAsia"/>
          <w:lang w:val="en-US" w:eastAsia="zh-CN"/>
        </w:rPr>
        <w:t>分布值</w:t>
      </w:r>
      <w:r>
        <w:t>，形成</w:t>
      </w:r>
      <w:r>
        <w:rPr>
          <w:rFonts w:hint="eastAsia"/>
          <w:lang w:val="en-US" w:eastAsia="zh-CN"/>
        </w:rPr>
        <w:t>寒武系烃源岩厚度</w:t>
      </w:r>
      <w:r>
        <w:t>插值图。</w:t>
      </w:r>
    </w:p>
    <w:p w14:paraId="248BC0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47795"/>
            <wp:effectExtent l="0" t="0" r="13970" b="14605"/>
            <wp:docPr id="5" name="图片 5" descr="39c9798c37755ab11d94650bff872e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9c9798c37755ab11d94650bff872e2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41AD">
      <w:pPr>
        <w:jc w:val="center"/>
      </w:pPr>
      <w:r>
        <w:rPr>
          <w:rFonts w:hint="eastAsia"/>
        </w:rPr>
        <w:t>图2.</w:t>
      </w:r>
      <w:r>
        <w:rPr>
          <w:rFonts w:hint="eastAsia"/>
          <w:lang w:val="en-US" w:eastAsia="zh-CN"/>
        </w:rPr>
        <w:t>厚度赋分</w:t>
      </w:r>
      <w:r>
        <w:rPr>
          <w:rFonts w:hint="eastAsia"/>
        </w:rPr>
        <w:t>图</w:t>
      </w:r>
    </w:p>
    <w:p w14:paraId="4E9CAC5E">
      <w:pPr>
        <w:ind w:firstLine="420" w:firstLineChars="20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烃源岩厚度</w:t>
      </w:r>
      <w:r>
        <w:rPr>
          <w:rFonts w:hint="eastAsia"/>
        </w:rPr>
        <w:t>插值图基础上，根据</w:t>
      </w:r>
      <w:r>
        <w:rPr>
          <w:rFonts w:hint="eastAsia"/>
          <w:lang w:val="en-US" w:eastAsia="zh-CN"/>
        </w:rPr>
        <w:t>厚度</w:t>
      </w:r>
      <w:r>
        <w:rPr>
          <w:rFonts w:hint="eastAsia"/>
        </w:rPr>
        <w:t>评价标准，以不同</w:t>
      </w:r>
      <w:r>
        <w:rPr>
          <w:rFonts w:hint="eastAsia"/>
          <w:lang w:val="en-US" w:eastAsia="zh-CN"/>
        </w:rPr>
        <w:t>厚度</w:t>
      </w:r>
      <w:r>
        <w:rPr>
          <w:rFonts w:hint="eastAsia"/>
        </w:rPr>
        <w:t>分别对应不同得分，并采用分段线性插值将其转换为连续得分，</w:t>
      </w:r>
      <w:r>
        <w:t xml:space="preserve">利用 imagesc </w:t>
      </w:r>
      <w:r>
        <w:rPr>
          <w:rFonts w:hint="eastAsia"/>
        </w:rPr>
        <w:t>函数</w:t>
      </w:r>
      <w:r>
        <w:t>绘制连续得分空间分布图，并采用由红色到绿色的渐变色表示盖层厚度</w:t>
      </w:r>
      <w:r>
        <w:rPr>
          <w:rFonts w:hint="eastAsia"/>
        </w:rPr>
        <w:t>得分</w:t>
      </w:r>
      <w:r>
        <w:t>由</w:t>
      </w:r>
      <w:r>
        <w:rPr>
          <w:rFonts w:hint="eastAsia"/>
        </w:rPr>
        <w:t>低</w:t>
      </w:r>
      <w:r>
        <w:t>到</w:t>
      </w:r>
      <w:r>
        <w:rPr>
          <w:rFonts w:hint="eastAsia"/>
        </w:rPr>
        <w:t>高，得出</w:t>
      </w:r>
      <w:r>
        <w:rPr>
          <w:rFonts w:hint="eastAsia"/>
          <w:lang w:val="en-US" w:eastAsia="zh-CN"/>
        </w:rPr>
        <w:t>厚度</w:t>
      </w:r>
      <w:r>
        <w:rPr>
          <w:rFonts w:hint="eastAsia"/>
        </w:rPr>
        <w:t>连续得分图。</w:t>
      </w:r>
    </w:p>
    <w:p w14:paraId="29AE4E1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039A01B"/>
    <w:p w14:paraId="75AA214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13970" b="6985"/>
            <wp:docPr id="6" name="图片 6" descr="52e7dfaf0e9f77fdfd693c145755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2e7dfaf0e9f77fdfd693c1457554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B882">
      <w:pPr>
        <w:jc w:val="center"/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厚度</w:t>
      </w:r>
      <w:r>
        <w:t>得分统计分布图</w:t>
      </w:r>
    </w:p>
    <w:p w14:paraId="47FC98CB">
      <w:pPr>
        <w:ind w:firstLine="420" w:firstLineChars="200"/>
        <w:rPr>
          <w:rFonts w:hint="eastAsia"/>
        </w:rPr>
      </w:pPr>
      <w:r>
        <w:rPr>
          <w:rFonts w:hint="eastAsia"/>
        </w:rPr>
        <w:t>本图是在厚度赋分图基础上，对全部有效插值网格进行统计得到的。左图采用 histogram 函数统计不同得分区间的网格频率，并计算平均值、中位数和累计概率。累计概率通过对所有有效得分从小到大排序，计算“不超过某一得分的网格数量占全部有效网格数量的比例”得到。右图则利用 histcounts 将得分划分为差、一般、较好和好四个等级，并用柱状图表示各等级网格数量占全部有效网格的比例。由于规则网格面积相同，因此网格占比可以近似反映各等级的面积占比。</w:t>
      </w:r>
    </w:p>
    <w:p w14:paraId="03861669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统计结果显示，研究区厚度单因素得分整体较高，不同得分区间的累计概率分别为：得分0.60时累计概率为0.030，得分0.65时累计概率为0.020，得分0.70时累计概率为0.020，得分0.75时累计概率为0.020。各得分区间的概率密度和均值数据也呈现相似分布特征。累计概率曲线表明，高得分样本占明显优势，绝大多数样本得分集中在较高区间，说明研究区寒武系烃源岩厚度整体较好，从厚度单因素评价来看，整体以较好—优等级为主，但仍有少量低厚度区域，表现出一定的空间非均质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CA3"/>
    <w:rsid w:val="00135E13"/>
    <w:rsid w:val="002D292E"/>
    <w:rsid w:val="005A69DF"/>
    <w:rsid w:val="00B16CA3"/>
    <w:rsid w:val="00CA346F"/>
    <w:rsid w:val="00E84B52"/>
    <w:rsid w:val="07102423"/>
    <w:rsid w:val="20A211DB"/>
    <w:rsid w:val="297B63DC"/>
    <w:rsid w:val="2DB34597"/>
    <w:rsid w:val="75F1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354833-b52f-4fe2-82aa-f2999fbe7b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663</Words>
  <Characters>797</Characters>
  <Lines>6</Lines>
  <Paragraphs>1</Paragraphs>
  <TotalTime>5</TotalTime>
  <ScaleCrop>false</ScaleCrop>
  <LinksUpToDate>false</LinksUpToDate>
  <CharactersWithSpaces>897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2026-08-28T03:29:00Z</dcterms:created>
  <dc:creator>RUNZE TANG</dc:creator>
  <cp:lastModifiedBy>南乔几经秋</cp:lastModifiedBy>
  <dcterms:modified xsi:type="dcterms:W3CDTF">2026-08-28T05:14:41Z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eyJoZGlkIjoiNDdlMDJkMWY0NzMwOTMyNjM3YWM1MjE4YWZjMjliZmIiLCJ1c2VySWQiOiI4MjY0OTI3OTgifQ==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A6089A3F908D4E1EA19B3F6F228E66E4_13</vt:lpwstr>
  </property>
</Properties>
</file>