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74DE1">
      <w:pPr>
        <w:spacing w:before="280" w:after="100"/>
      </w:pPr>
      <w:r>
        <w:rPr>
          <w:rFonts w:ascii="Calibri" w:hAnsi="Calibri" w:eastAsia="微软雅黑"/>
          <w:b/>
          <w:color w:val="17365D"/>
          <w:sz w:val="46"/>
        </w:rPr>
        <w:t>高相似同客户影像区分对比实验报告</w:t>
      </w:r>
    </w:p>
    <w:p w14:paraId="52E65F26">
      <w:pPr>
        <w:spacing w:after="320"/>
      </w:pPr>
      <w:r>
        <w:rPr>
          <w:rFonts w:ascii="Calibri" w:hAnsi="Calibri" w:eastAsia="微软雅黑"/>
          <w:b w:val="0"/>
          <w:color w:val="667B96"/>
          <w:sz w:val="26"/>
        </w:rPr>
        <w:t>重复使用（T）与多笔授信（C）的 Stage 2 区分能力验证</w:t>
      </w:r>
    </w:p>
    <w:p w14:paraId="6212B133">
      <w:pPr>
        <w:spacing w:after="40"/>
      </w:pPr>
      <w:r>
        <w:rPr>
          <w:rFonts w:ascii="Calibri" w:hAnsi="Calibri" w:eastAsia="微软雅黑"/>
          <w:b/>
          <w:color w:val="17365D"/>
          <w:sz w:val="22"/>
        </w:rPr>
        <w:t>数据范围：</w:t>
      </w:r>
      <w:r>
        <w:rPr>
          <w:rFonts w:ascii="Calibri" w:hAnsi="Calibri" w:eastAsia="微软雅黑"/>
          <w:b w:val="0"/>
          <w:color w:val="243B5A"/>
          <w:sz w:val="22"/>
        </w:rPr>
        <w:t>3,254 笔贷款；221 个原图相似组；663 笔 C/T 评估样本</w:t>
      </w:r>
    </w:p>
    <w:p w14:paraId="73321F1F">
      <w:pPr>
        <w:spacing w:after="40"/>
      </w:pPr>
      <w:r>
        <w:rPr>
          <w:rFonts w:ascii="Calibri" w:hAnsi="Calibri" w:eastAsia="微软雅黑"/>
          <w:b/>
          <w:color w:val="17365D"/>
          <w:sz w:val="22"/>
        </w:rPr>
        <w:t>原图范围：</w:t>
      </w:r>
      <w:r>
        <w:rPr>
          <w:rFonts w:ascii="Calibri" w:hAnsi="Calibri" w:eastAsia="微软雅黑"/>
          <w:b w:val="0"/>
          <w:color w:val="243B5A"/>
          <w:sz w:val="22"/>
        </w:rPr>
        <w:t>loan_75 至 loan_295，共 221 张面签图</w:t>
      </w:r>
    </w:p>
    <w:p w14:paraId="492BB4C4">
      <w:pPr>
        <w:spacing w:after="40"/>
      </w:pPr>
      <w:r>
        <w:rPr>
          <w:rFonts w:ascii="Calibri" w:hAnsi="Calibri" w:eastAsia="微软雅黑"/>
          <w:b/>
          <w:color w:val="17365D"/>
          <w:sz w:val="22"/>
        </w:rPr>
        <w:t>标注口径：</w:t>
      </w:r>
      <w:r>
        <w:rPr>
          <w:rFonts w:ascii="Calibri" w:hAnsi="Calibri" w:eastAsia="微软雅黑"/>
          <w:b w:val="0"/>
          <w:color w:val="243B5A"/>
          <w:sz w:val="22"/>
        </w:rPr>
        <w:t>C = 多笔授信/正常续贷；T = 原图重复使用</w:t>
      </w:r>
    </w:p>
    <w:p w14:paraId="20130FA2">
      <w:pPr>
        <w:spacing w:after="40"/>
      </w:pPr>
      <w:r>
        <w:rPr>
          <w:rFonts w:ascii="Calibri" w:hAnsi="Calibri" w:eastAsia="微软雅黑"/>
          <w:b/>
          <w:color w:val="17365D"/>
          <w:sz w:val="22"/>
        </w:rPr>
        <w:t>报告日期：</w:t>
      </w:r>
      <w:r>
        <w:rPr>
          <w:rFonts w:ascii="Calibri" w:hAnsi="Calibri" w:eastAsia="微软雅黑"/>
          <w:b w:val="0"/>
          <w:color w:val="243B5A"/>
          <w:sz w:val="22"/>
        </w:rPr>
        <w:t>2026-08-21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A85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2A72">
            <w:pPr>
              <w:spacing w:after="0"/>
            </w:pPr>
            <w:r>
              <w:rPr>
                <w:rFonts w:ascii="Calibri" w:hAnsi="Calibri" w:eastAsia="微软雅黑"/>
                <w:b/>
                <w:color w:val="1263E6"/>
                <w:sz w:val="22"/>
              </w:rPr>
              <w:t xml:space="preserve">核心结论  </w:t>
            </w:r>
            <w:r>
              <w:rPr>
                <w:rFonts w:ascii="Calibri" w:hAnsi="Calibri" w:eastAsia="微软雅黑"/>
                <w:b w:val="0"/>
                <w:color w:val="243B5A"/>
                <w:sz w:val="22"/>
              </w:rPr>
              <w:t>在当前 221 个已正确分组的同客户高相似组中，业务阈值基线 Accuracy 为 73.60%；原图近重复强基线为 99.70%；加入候选间组内比较后，Stage 2 在 663 笔 C/T 标注样本上达到 100.00%。</w:t>
            </w:r>
          </w:p>
        </w:tc>
      </w:tr>
    </w:tbl>
    <w:p w14:paraId="0AF50AB3">
      <w:pPr>
        <w:spacing w:after="0"/>
      </w:pPr>
    </w:p>
    <w:p w14:paraId="6735022D">
      <w:pPr>
        <w:pStyle w:val="3"/>
        <w:rPr>
          <w:rFonts w:hint="default" w:eastAsia="宋体"/>
          <w:lang w:val="en-US" w:eastAsia="zh-CN"/>
        </w:rPr>
      </w:pPr>
      <w:r>
        <w:t>1  背景：为</w:t>
      </w:r>
      <w:r>
        <w:rPr>
          <w:rFonts w:hint="eastAsia" w:eastAsia="宋体"/>
          <w:lang w:val="en-US" w:eastAsia="zh-CN"/>
        </w:rPr>
        <w:t>什么要区分重复使用与多笔授信</w:t>
      </w:r>
    </w:p>
    <w:p w14:paraId="27D63AE2">
      <w:r>
        <w:rPr>
          <w:rFonts w:ascii="Calibri" w:hAnsi="Calibri" w:eastAsia="微软雅黑"/>
          <w:b w:val="0"/>
          <w:color w:val="243B5A"/>
          <w:sz w:val="22"/>
        </w:rPr>
        <w:t>同一客户再次申请授信时，人脸身份保持不变，新的面签照片与历史照片天然具有较高相似度。因此，高相似只能说明影像或人物接近，不能直接说明客户重复提交了原图。</w:t>
      </w:r>
    </w:p>
    <w:p w14:paraId="7446F452">
      <w:r>
        <w:rPr>
          <w:rFonts w:ascii="Calibri" w:hAnsi="Calibri" w:eastAsia="微软雅黑"/>
          <w:b w:val="0"/>
          <w:color w:val="243B5A"/>
          <w:sz w:val="22"/>
        </w:rPr>
        <w:t>如果系统把所有高相似样本都判为重复使用，会把正常续贷或多笔授信推入风险队列，增加人工复核成本并影响客户体验；如果全部按正常同客户业务放行，又可能遗漏原图复用行为。Stage 2 的目标是在“同客户、已进入高相似组”的前提下进一步解释相似原因。</w:t>
      </w:r>
    </w:p>
    <w:p w14:paraId="608DD542">
      <w:pPr>
        <w:pStyle w:val="3"/>
        <w:rPr>
          <w:rFonts w:hint="default"/>
          <w:lang w:val="en-US"/>
        </w:rPr>
      </w:pPr>
      <w:r>
        <w:t xml:space="preserve">2  </w:t>
      </w:r>
      <w:r>
        <w:rPr>
          <w:rFonts w:hint="eastAsia" w:eastAsia="宋体"/>
          <w:lang w:val="en-US" w:eastAsia="zh-CN"/>
        </w:rPr>
        <w:t>实验设计与展示口径</w:t>
      </w:r>
    </w:p>
    <w:p w14:paraId="1AEA26DA">
      <w:r>
        <w:rPr>
          <w:rFonts w:ascii="Calibri" w:hAnsi="Calibri" w:eastAsia="微软雅黑"/>
          <w:b w:val="0"/>
          <w:color w:val="243B5A"/>
          <w:sz w:val="22"/>
        </w:rPr>
        <w:t>本实验以 loan_75 至 loan_295 的 221 张面签图为登记原图。每个原图相似组对应 1 笔 C 多笔授信样本和 2 笔 T 重复使用样本，共形成 221 个四图组（原图 + C + T + T）。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A0A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9EA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全量贷款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E0E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原图相似组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592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C 多笔授信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2EE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T 重复使用</w:t>
            </w:r>
          </w:p>
        </w:tc>
      </w:tr>
      <w:tr w14:paraId="1A35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79A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263E6"/>
                <w:sz w:val="26"/>
              </w:rPr>
              <w:t>3,254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623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263E6"/>
                <w:sz w:val="26"/>
              </w:rPr>
              <w:t>221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0B1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263E6"/>
                <w:sz w:val="26"/>
              </w:rPr>
              <w:t>221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078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263E6"/>
                <w:sz w:val="26"/>
              </w:rPr>
              <w:t>442</w:t>
            </w:r>
          </w:p>
        </w:tc>
      </w:tr>
    </w:tbl>
    <w:p w14:paraId="757CAD64">
      <w:pPr>
        <w:pStyle w:val="3"/>
        <w:rPr>
          <w:rFonts w:hint="eastAsia" w:eastAsia="宋体"/>
          <w:lang w:val="en-US" w:eastAsia="zh-CN"/>
        </w:rPr>
      </w:pPr>
      <w:r>
        <w:t>3  对</w:t>
      </w:r>
      <w:r>
        <w:rPr>
          <w:rFonts w:hint="eastAsia" w:eastAsia="宋体"/>
          <w:lang w:val="en-US" w:eastAsia="zh-CN"/>
        </w:rPr>
        <w:t>比</w:t>
      </w:r>
      <w:r>
        <w:t>实验结</w:t>
      </w:r>
      <w:r>
        <w:rPr>
          <w:rFonts w:hint="eastAsia" w:eastAsia="宋体"/>
          <w:lang w:val="en-US" w:eastAsia="zh-CN"/>
        </w:rPr>
        <w:t>果</w:t>
      </w:r>
    </w:p>
    <w:p w14:paraId="4C3619B0">
      <w:r>
        <w:rPr>
          <w:rFonts w:ascii="Calibri" w:hAnsi="Calibri" w:eastAsia="微软雅黑"/>
          <w:b w:val="0"/>
          <w:color w:val="243B5A"/>
          <w:sz w:val="22"/>
        </w:rPr>
        <w:t>对照一使用系统业务阈值 0.92，仅依据候选与登记原图的余弦相似度；对照二将原图近重复阈值提高到 0.9995；Stage 2 则在同客户身份约束下，同时使用候选—原图和候选—候选的组内最高相似度。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1350"/>
        <w:gridCol w:w="1450"/>
        <w:gridCol w:w="1350"/>
        <w:gridCol w:w="1450"/>
        <w:gridCol w:w="1310"/>
      </w:tblGrid>
      <w:tr w14:paraId="2B0A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241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方法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FC4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Accuracy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36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T Precision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0E8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T Recall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5C1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Macro-F1</w:t>
            </w:r>
          </w:p>
        </w:tc>
        <w:tc>
          <w:tcPr>
            <w:tcW w:w="1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0B8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错误数</w:t>
            </w:r>
          </w:p>
        </w:tc>
      </w:tr>
      <w:tr w14:paraId="45FA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102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业务阈值 0.92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375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73.60%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DDD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71.78%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78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99.55%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E07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59.42%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53F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175</w:t>
            </w:r>
          </w:p>
        </w:tc>
      </w:tr>
      <w:tr w14:paraId="683D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2DF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原图强基线 0.9995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D50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99.70%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652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100.00%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02A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99.55%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F19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99.66%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49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2</w:t>
            </w:r>
          </w:p>
        </w:tc>
      </w:tr>
      <w:tr w14:paraId="04E4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C71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Stage 2 组内区分</w:t>
            </w:r>
          </w:p>
        </w:tc>
        <w:tc>
          <w:tcPr>
            <w:tcW w:w="13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4CA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100.00%</w:t>
            </w:r>
          </w:p>
        </w:tc>
        <w:tc>
          <w:tcPr>
            <w:tcW w:w="14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D9F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100.00%</w:t>
            </w:r>
          </w:p>
        </w:tc>
        <w:tc>
          <w:tcPr>
            <w:tcW w:w="13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95F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100.00%</w:t>
            </w:r>
          </w:p>
        </w:tc>
        <w:tc>
          <w:tcPr>
            <w:tcW w:w="14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008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100.00%</w:t>
            </w:r>
          </w:p>
        </w:tc>
        <w:tc>
          <w:tcPr>
            <w:tcW w:w="131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3C0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0</w:t>
            </w:r>
          </w:p>
        </w:tc>
      </w:tr>
    </w:tbl>
    <w:p w14:paraId="0C3526BC">
      <w:pPr>
        <w:spacing w:before="80" w:after="80"/>
      </w:pPr>
      <w:r>
        <w:rPr>
          <w:rFonts w:ascii="Calibri" w:hAnsi="Calibri" w:eastAsia="微软雅黑"/>
          <w:b w:val="0"/>
          <w:color w:val="667B96"/>
          <w:sz w:val="18"/>
        </w:rPr>
        <w:t>表 1  当前 C/T 标注集上的离线评估结果；T 为正类。</w:t>
      </w:r>
    </w:p>
    <w:p w14:paraId="17AAB164">
      <w:r>
        <w:rPr>
          <w:rFonts w:ascii="Calibri" w:hAnsi="Calibri" w:eastAsia="微软雅黑"/>
          <w:b w:val="0"/>
          <w:color w:val="243B5A"/>
          <w:sz w:val="22"/>
        </w:rPr>
        <w:t>业务阈值基线产生 173 个误报和 2 个漏报，主要原因是正常多笔授信也具有很高的人脸相似度。将阈值提高到 0.9995 后误报被消除，但仍漏掉 2 个 T 样本。Stage 2 通过组内两两比较将这两个边界样本纠正，最终 TP=442、TN=221、FP=0、FN=0。</w:t>
      </w:r>
    </w:p>
    <w:p w14:paraId="4731B48D">
      <w:pPr>
        <w:pStyle w:val="3"/>
        <w:rPr>
          <w:rFonts w:hint="default" w:eastAsia="宋体"/>
          <w:lang w:val="en-US" w:eastAsia="zh-CN"/>
        </w:rPr>
      </w:pPr>
      <w:r>
        <w:t xml:space="preserve">4  </w:t>
      </w:r>
      <w:r>
        <w:rPr>
          <w:rFonts w:hint="eastAsia" w:eastAsia="宋体"/>
          <w:lang w:val="en-US" w:eastAsia="zh-CN"/>
        </w:rPr>
        <w:t>关键边界案例</w:t>
      </w:r>
      <w:r>
        <w:t>：</w:t>
      </w:r>
      <w:r>
        <w:rPr>
          <w:rFonts w:hint="eastAsia" w:eastAsia="宋体"/>
          <w:lang w:val="en-US" w:eastAsia="zh-CN"/>
        </w:rPr>
        <w:t>SG_62</w:t>
      </w:r>
    </w:p>
    <w:p w14:paraId="6D4F8A2A">
      <w:r>
        <w:rPr>
          <w:rFonts w:ascii="Calibri" w:hAnsi="Calibri" w:eastAsia="微软雅黑"/>
          <w:b w:val="0"/>
          <w:color w:val="243B5A"/>
          <w:sz w:val="22"/>
        </w:rPr>
        <w:t>SG_62 说明了为什么不能只比较候选与登记原图。两张 T 图片与登记原图的相似度均约为 82.99%，低于严格原图阈值；但两张 T 之间的相似度为 100%，构成明确的成对复用证据。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500"/>
        <w:gridCol w:w="1850"/>
        <w:gridCol w:w="1950"/>
        <w:gridCol w:w="2010"/>
      </w:tblGrid>
      <w:tr w14:paraId="6CCB3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B6D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贷款编号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E2C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真实类别</w:t>
            </w:r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CC5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与原图相似度</w:t>
            </w:r>
          </w:p>
        </w:tc>
        <w:tc>
          <w:tcPr>
            <w:tcW w:w="1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F03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组内最高相似度</w:t>
            </w:r>
          </w:p>
        </w:tc>
        <w:tc>
          <w:tcPr>
            <w:tcW w:w="2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E2C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Stage 2 判定</w:t>
            </w:r>
          </w:p>
        </w:tc>
      </w:tr>
      <w:tr w14:paraId="4FB1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5AD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LN2024000682</w:t>
            </w:r>
          </w:p>
        </w:tc>
        <w:tc>
          <w:tcPr>
            <w:tcW w:w="150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93D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多笔授信</w:t>
            </w:r>
          </w:p>
        </w:tc>
        <w:tc>
          <w:tcPr>
            <w:tcW w:w="18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577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97.28%</w:t>
            </w:r>
          </w:p>
        </w:tc>
        <w:tc>
          <w:tcPr>
            <w:tcW w:w="19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0E4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97.28%</w:t>
            </w:r>
          </w:p>
        </w:tc>
        <w:tc>
          <w:tcPr>
            <w:tcW w:w="201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9C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多笔授信</w:t>
            </w:r>
          </w:p>
        </w:tc>
      </w:tr>
      <w:tr w14:paraId="109F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FCE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LN2024000903</w:t>
            </w:r>
          </w:p>
        </w:tc>
        <w:tc>
          <w:tcPr>
            <w:tcW w:w="150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A59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重复使用</w:t>
            </w:r>
          </w:p>
        </w:tc>
        <w:tc>
          <w:tcPr>
            <w:tcW w:w="18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9C7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82.99%</w:t>
            </w:r>
          </w:p>
        </w:tc>
        <w:tc>
          <w:tcPr>
            <w:tcW w:w="19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89A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100.00%</w:t>
            </w:r>
          </w:p>
        </w:tc>
        <w:tc>
          <w:tcPr>
            <w:tcW w:w="201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9AF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重复使用</w:t>
            </w:r>
          </w:p>
        </w:tc>
      </w:tr>
      <w:tr w14:paraId="0327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DE5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LN2024001124</w:t>
            </w:r>
          </w:p>
        </w:tc>
        <w:tc>
          <w:tcPr>
            <w:tcW w:w="150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79E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重复使用</w:t>
            </w:r>
          </w:p>
        </w:tc>
        <w:tc>
          <w:tcPr>
            <w:tcW w:w="18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CC7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82.99%</w:t>
            </w:r>
          </w:p>
        </w:tc>
        <w:tc>
          <w:tcPr>
            <w:tcW w:w="19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68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100.00%</w:t>
            </w:r>
          </w:p>
        </w:tc>
        <w:tc>
          <w:tcPr>
            <w:tcW w:w="201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23C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重复使用</w:t>
            </w:r>
          </w:p>
        </w:tc>
      </w:tr>
    </w:tbl>
    <w:p w14:paraId="42D1C234">
      <w:pPr>
        <w:pStyle w:val="3"/>
        <w:rPr>
          <w:rFonts w:hint="eastAsia" w:eastAsia="宋体"/>
          <w:lang w:val="en-US" w:eastAsia="zh-CN"/>
        </w:rPr>
      </w:pPr>
      <w:r>
        <w:t xml:space="preserve">5  </w:t>
      </w:r>
      <w:r>
        <w:rPr>
          <w:rFonts w:hint="eastAsia" w:eastAsia="宋体"/>
          <w:lang w:val="en-US" w:eastAsia="zh-CN"/>
        </w:rPr>
        <w:t>核心判定思路</w:t>
      </w:r>
    </w:p>
    <w:p w14:paraId="7DC17D19">
      <w:pPr>
        <w:pStyle w:val="14"/>
        <w:spacing w:after="160" w:line="280" w:lineRule="auto"/>
        <w:ind w:left="720" w:hanging="360"/>
      </w:pPr>
      <w:r>
        <w:rPr>
          <w:rFonts w:ascii="Calibri" w:hAnsi="Calibri" w:eastAsia="微软雅黑"/>
          <w:b w:val="0"/>
          <w:color w:val="243B5A"/>
          <w:sz w:val="22"/>
        </w:rPr>
        <w:t>锁定原图与相似组：以 221 张历史面签原图为锚点，召回同组高相似候选。</w:t>
      </w:r>
    </w:p>
    <w:p w14:paraId="6ED985BB">
      <w:pPr>
        <w:pStyle w:val="14"/>
        <w:spacing w:after="160" w:line="280" w:lineRule="auto"/>
        <w:ind w:left="720" w:hanging="360"/>
      </w:pPr>
      <w:r>
        <w:rPr>
          <w:rFonts w:ascii="Calibri" w:hAnsi="Calibri" w:eastAsia="微软雅黑"/>
          <w:b w:val="0"/>
          <w:color w:val="243B5A"/>
          <w:sz w:val="22"/>
        </w:rPr>
        <w:t>确认同客户身份：通过客户主键确认关系，避免把跨客户欺诈混入 C/T 实验。</w:t>
      </w:r>
    </w:p>
    <w:p w14:paraId="74AF53C6">
      <w:pPr>
        <w:pStyle w:val="14"/>
        <w:spacing w:after="160" w:line="280" w:lineRule="auto"/>
        <w:ind w:left="720" w:hanging="360"/>
      </w:pPr>
      <w:r>
        <w:rPr>
          <w:rFonts w:ascii="Calibri" w:hAnsi="Calibri" w:eastAsia="微软雅黑"/>
          <w:b w:val="0"/>
          <w:color w:val="243B5A"/>
          <w:sz w:val="22"/>
        </w:rPr>
        <w:t>执行组内两两比较：同时计算候选与原图、候选与候选的相似度。</w:t>
      </w:r>
    </w:p>
    <w:p w14:paraId="7752D009">
      <w:pPr>
        <w:pStyle w:val="14"/>
        <w:spacing w:after="160" w:line="280" w:lineRule="auto"/>
        <w:ind w:left="720" w:hanging="360"/>
      </w:pPr>
      <w:r>
        <w:rPr>
          <w:rFonts w:ascii="Calibri" w:hAnsi="Calibri" w:eastAsia="微软雅黑"/>
          <w:b w:val="0"/>
          <w:color w:val="243B5A"/>
          <w:sz w:val="22"/>
        </w:rPr>
        <w:t>输出业务类别：存在近乎完全一致的组内影像时判为重复使用；身份一致但拍摄内容存在变化时判为多笔授信。</w:t>
      </w:r>
    </w:p>
    <w:p w14:paraId="7A11DE69">
      <w:pPr>
        <w:pStyle w:val="3"/>
        <w:rPr>
          <w:rFonts w:hint="default" w:eastAsia="宋体"/>
          <w:lang w:val="en-US" w:eastAsia="zh-CN"/>
        </w:rPr>
      </w:pPr>
      <w:r>
        <w:t xml:space="preserve">6  </w:t>
      </w:r>
      <w:r>
        <w:rPr>
          <w:rFonts w:hint="eastAsia" w:eastAsia="宋体"/>
          <w:lang w:val="en-US" w:eastAsia="zh-CN"/>
        </w:rPr>
        <w:t>相似度分布与业务解读</w:t>
      </w:r>
    </w:p>
    <w:p w14:paraId="7D85E617">
      <w:r>
        <w:rPr>
          <w:rFonts w:ascii="Calibri" w:hAnsi="Calibri" w:eastAsia="微软雅黑"/>
          <w:b w:val="0"/>
          <w:color w:val="243B5A"/>
          <w:sz w:val="22"/>
        </w:rPr>
        <w:t>两类样本都属于同客户高相似场景，但分布形态不同。C 多笔授信与原图的平均相似度为 93.98%，说明正常重新面签仍会大量进入高相似区间；T 重复使用的平均相似度为 99.92%，其中绝大多数接近完全一致。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300"/>
        <w:gridCol w:w="1300"/>
        <w:gridCol w:w="1450"/>
        <w:gridCol w:w="1300"/>
        <w:gridCol w:w="2260"/>
      </w:tblGrid>
      <w:tr w14:paraId="4E6C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547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类别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720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均值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7F5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P5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682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中位数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75E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P95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19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范围</w:t>
            </w:r>
          </w:p>
        </w:tc>
      </w:tr>
      <w:tr w14:paraId="7FD0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65E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多笔授信 C</w:t>
            </w:r>
          </w:p>
        </w:tc>
        <w:tc>
          <w:tcPr>
            <w:tcW w:w="130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69F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93.98%</w:t>
            </w:r>
          </w:p>
        </w:tc>
        <w:tc>
          <w:tcPr>
            <w:tcW w:w="130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A8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87.84%</w:t>
            </w:r>
          </w:p>
        </w:tc>
        <w:tc>
          <w:tcPr>
            <w:tcW w:w="145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8C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94.50%</w:t>
            </w:r>
          </w:p>
        </w:tc>
        <w:tc>
          <w:tcPr>
            <w:tcW w:w="130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81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98.44%</w:t>
            </w:r>
          </w:p>
        </w:tc>
        <w:tc>
          <w:tcPr>
            <w:tcW w:w="2260" w:type="dxa"/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D5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73.85%–99.35%</w:t>
            </w:r>
          </w:p>
        </w:tc>
      </w:tr>
      <w:tr w14:paraId="446F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575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43B5A"/>
                <w:sz w:val="18"/>
              </w:rPr>
              <w:t>重复使用 T</w:t>
            </w:r>
          </w:p>
        </w:tc>
        <w:tc>
          <w:tcPr>
            <w:tcW w:w="130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4C7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99.92%</w:t>
            </w:r>
          </w:p>
        </w:tc>
        <w:tc>
          <w:tcPr>
            <w:tcW w:w="130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1C9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100.00%</w:t>
            </w:r>
          </w:p>
        </w:tc>
        <w:tc>
          <w:tcPr>
            <w:tcW w:w="145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04A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100.00%</w:t>
            </w:r>
          </w:p>
        </w:tc>
        <w:tc>
          <w:tcPr>
            <w:tcW w:w="130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83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100.00%</w:t>
            </w:r>
          </w:p>
        </w:tc>
        <w:tc>
          <w:tcPr>
            <w:tcW w:w="2260" w:type="dxa"/>
            <w:shd w:val="clear" w:color="auto" w:fill="E8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E99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43B5A"/>
                <w:sz w:val="18"/>
              </w:rPr>
              <w:t>82.99%–100.00%</w:t>
            </w:r>
          </w:p>
        </w:tc>
      </w:tr>
    </w:tbl>
    <w:p w14:paraId="78DC9331">
      <w:r>
        <w:rPr>
          <w:rFonts w:ascii="Calibri" w:hAnsi="Calibri" w:eastAsia="微软雅黑"/>
          <w:b w:val="0"/>
          <w:color w:val="243B5A"/>
          <w:sz w:val="22"/>
        </w:rPr>
        <w:t>业务阈值 0.92 的作用是召回“可能属于同一人或同一组”的候选，而不是直接完成 C/T 类型解释。Stage 2 把风险识别从单点阈值判断升级为组内关系判断，因此能够在保留正常多笔授信的同时识别成对复用。</w:t>
      </w:r>
    </w:p>
    <w:p w14:paraId="57E3BAF0">
      <w:pPr>
        <w:pStyle w:val="3"/>
        <w:rPr>
          <w:rFonts w:hint="default" w:eastAsia="宋体"/>
          <w:lang w:val="en-US" w:eastAsia="zh-CN"/>
        </w:rPr>
      </w:pPr>
      <w:r>
        <w:t xml:space="preserve">7  </w:t>
      </w:r>
      <w:r>
        <w:rPr>
          <w:rFonts w:hint="eastAsia" w:eastAsia="宋体"/>
          <w:lang w:val="en-US" w:eastAsia="zh-CN"/>
        </w:rPr>
        <w:t>结论与适用边界</w:t>
      </w:r>
      <w:bookmarkStart w:id="0" w:name="_GoBack"/>
      <w:bookmarkEnd w:id="0"/>
    </w:p>
    <w:p w14:paraId="7A4B3D75">
      <w:r>
        <w:rPr>
          <w:rFonts w:ascii="Calibri" w:hAnsi="Calibri" w:eastAsia="微软雅黑"/>
          <w:b w:val="0"/>
          <w:color w:val="243B5A"/>
          <w:sz w:val="22"/>
        </w:rPr>
        <w:t>实验表明，单一高相似阈值不能稳定解释同客户影像的业务含义；加入客户身份和组内近重复关系后，可以显著降低正常多笔授信的误报，并补足只比较登记原图时的漏报。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812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A0CE">
            <w:pPr>
              <w:spacing w:after="0"/>
            </w:pPr>
            <w:r>
              <w:rPr>
                <w:rFonts w:ascii="Calibri" w:hAnsi="Calibri" w:eastAsia="微软雅黑"/>
                <w:b/>
                <w:color w:val="1263E6"/>
                <w:sz w:val="22"/>
              </w:rPr>
              <w:t xml:space="preserve">适用边界  </w:t>
            </w:r>
            <w:r>
              <w:rPr>
                <w:rFonts w:ascii="Calibri" w:hAnsi="Calibri" w:eastAsia="微软雅黑"/>
                <w:b w:val="0"/>
                <w:color w:val="243B5A"/>
                <w:sz w:val="22"/>
              </w:rPr>
              <w:t>本报告的 100% 是在 663 笔已标注 C/T 样本、面签识别正确且相似组已正确划分前提下的条件评估，不等同于端到端生产准确率。端到端效果还受面签识别率、相似组召回率和客户身份匹配质量影响。</w:t>
            </w:r>
          </w:p>
        </w:tc>
      </w:tr>
    </w:tbl>
    <w:p w14:paraId="1DA2B162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A94DF">
    <w:pPr>
      <w:pStyle w:val="24"/>
      <w:jc w:val="right"/>
    </w:pPr>
    <w:r>
      <w:rPr>
        <w:rFonts w:ascii="Calibri" w:hAnsi="Calibri" w:eastAsia="微软雅黑"/>
        <w:b w:val="0"/>
        <w:color w:val="667B96"/>
        <w:sz w:val="18"/>
      </w:rPr>
      <w:t xml:space="preserve">金融影像智能相似度检测系统  ·  第 </w:t>
    </w:r>
    <w:r>
      <w:rPr>
        <w:rFonts w:ascii="Calibri" w:hAnsi="Calibri" w:eastAsia="微软雅黑"/>
        <w:b w:val="0"/>
        <w:color w:val="667B96"/>
        <w:sz w:val="18"/>
      </w:rPr>
      <w:fldChar w:fldCharType="begin"/>
    </w:r>
    <w:r>
      <w:rPr>
        <w:rFonts w:ascii="Calibri" w:hAnsi="Calibri" w:eastAsia="微软雅黑"/>
        <w:b w:val="0"/>
        <w:color w:val="667B96"/>
        <w:sz w:val="18"/>
      </w:rPr>
      <w:instrText xml:space="preserve"> PAGE </w:instrText>
    </w:r>
    <w:r>
      <w:rPr>
        <w:rFonts w:ascii="Calibri" w:hAnsi="Calibri" w:eastAsia="微软雅黑"/>
        <w:b w:val="0"/>
        <w:color w:val="667B96"/>
        <w:sz w:val="18"/>
      </w:rPr>
      <w:fldChar w:fldCharType="end"/>
    </w:r>
    <w:r>
      <w:rPr>
        <w:rFonts w:ascii="Calibri" w:hAnsi="Calibri" w:eastAsia="微软雅黑"/>
        <w:b w:val="0"/>
        <w:color w:val="667B9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D9B81">
    <w:pPr>
      <w:pStyle w:val="25"/>
      <w:jc w:val="left"/>
    </w:pPr>
    <w:r>
      <w:rPr>
        <w:rFonts w:ascii="Calibri" w:hAnsi="Calibri" w:eastAsia="微软雅黑"/>
        <w:b/>
        <w:color w:val="667B96"/>
        <w:sz w:val="18"/>
      </w:rPr>
      <w:t>同客户高相似影像区分实验  |  内部技术报告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45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263E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263E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65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1423</Words>
  <Characters>1858</Characters>
  <Lines>0</Lines>
  <Paragraphs>0</Paragraphs>
  <TotalTime>13</TotalTime>
  <ScaleCrop>false</ScaleCrop>
  <LinksUpToDate>false</LinksUpToDate>
  <CharactersWithSpaces>1991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金融影像智能相似度检测系统</dc:creator>
  <dc:description>generated by python-docx</dc:description>
  <cp:keywords>同客户,重复使用,多笔授信,Stage 2,相似度</cp:keywords>
  <cp:lastModifiedBy>张晨思</cp:lastModifiedBy>
  <dcterms:modified xsi:type="dcterms:W3CDTF">2026-08-21T07:34:20Z</dcterms:modified>
  <dc:subject>重复使用与多笔授信 Stage 2 区分实验</dc:subject>
  <dc:title>高相似同客户影像区分对比实验报告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eyJoZGlkIjoiMjgzODM2NzhkZTkzNGQxMWZlZDMzYTIwMjBjOTRmM2EiLCJ1c2VySWQiOiIxNzEzNzg4NzQ2In0=</vt:lpwstr>
  </property>
  <property fmtid="{D5CDD505-2E9C-101B-9397-08002B2CF9AE}" pid="3" name="KSOProductBuildVer">
    <vt:lpwstr>2052-12.1.0.19770</vt:lpwstr>
  </property>
  <property fmtid="{D5CDD505-2E9C-101B-9397-08002B2CF9AE}" pid="4" name="ICV">
    <vt:lpwstr>B0EF9A5A903F44D9BCCC22EDD74ABD0F_12</vt:lpwstr>
  </property>
</Properties>
</file>