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MVP 多模态金融影像智能相似度检测</w:t>
        <w:br/>
        <w:t>完整技术报告</w:t>
      </w:r>
    </w:p>
    <w:p>
      <w:pPr>
        <w:jc w:val="center"/>
      </w:pPr>
      <w:r>
        <w:rPr>
          <w:i/>
        </w:rPr>
        <w:t>基于 outputs/mvp 正式产物 · 2026-08-27</w:t>
      </w:r>
    </w:p>
    <w:p>
      <w:r>
        <w:t>本报告对当前 MVP 的数据质量、材料分类、Stage1 相似检测、Stage2 风险解释、欺诈监控、页面数据口径及上线风险进行统一分析。所有数字均来自当前目录中的 JSON/CSV 汇总产物；模型结果、风险线索和人工确认案件严格区分。</w:t>
      </w:r>
    </w:p>
    <w:p>
      <w:pPr>
        <w:pStyle w:val="Heading1"/>
      </w:pPr>
      <w:r>
        <w:t>1. 执行摘要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核心指标</w:t>
            </w:r>
          </w:p>
        </w:tc>
        <w:tc>
          <w:tcPr>
            <w:tcW w:type="dxa" w:w="2448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464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数据规模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16,270 张图片 / 3,254 笔贷款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5 类材料，每类 3,254 张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数据有效率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100.00%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16,270 张全部通过检查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分类测试准确率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100.00%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五类影像，测试集 2,440 张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Stage1 组级 F1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96.71%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更接近新客户/新相似组泛化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可疑配对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11,447 / 25,001（45.79%）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模型风险线索，不等于已确认欺诈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运行耗时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17.8 秒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run_summary.json 记录的本次运行耗时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45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ta_qua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数据质量检查结果。</w:t>
      </w:r>
    </w:p>
    <w:p>
      <w:pPr>
        <w:pStyle w:val="Heading1"/>
      </w:pPr>
      <w:r>
        <w:t>2. 数据与产物清单</w:t>
      </w:r>
    </w:p>
    <w:p>
      <w:r>
        <w:t>当前正式产物包含分类指标、运行汇总、两阶段汇总、欺诈监控汇总、人脸清单、分类器和 FAISS 索引。face_manifest.csv 共 3,254 条，状态全部为 ok，预测类别全部为 face_signing，置信度均值 0.997927，中位数 0.998370，最低值 0.970100。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176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584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classification_metrics.json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五类材料分类评估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可用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run_summary.json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数据规模、阈值、耗时和运行元数据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可用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two_stage_summary.json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Stage1/Stage2 评估与类型汇总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可用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fraud_monitoring_summary.json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欺诈监控和风险图汇总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可用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face_manifest.csv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面签影像索引与分类置信度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可用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stage1_similarity_report.csv 等明细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样例、阈值曲线和风险最高样例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当前目录未提供</w:t>
            </w:r>
          </w:p>
        </w:tc>
      </w:tr>
    </w:tbl>
    <w:p>
      <w:pPr>
        <w:spacing w:after="40"/>
      </w:pPr>
    </w:p>
    <w:p>
      <w:pPr>
        <w:pStyle w:val="Heading1"/>
      </w:pPr>
      <w:r>
        <w:t>3. 五类影像分类</w:t>
      </w:r>
    </w:p>
    <w:p>
      <w:r>
        <w:t>模型为 google/siglip2-base-patch16-224，运行设备为 CUDA。训练、验证和测试集的五类 precision、recall、F1 均为 1.0000，混淆矩阵均为对角矩阵。该结果说明当前测试样本没有分类错误，但不能推断未来未知影像也能达到 100%。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456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ssifi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 五类影像分类准确率。</w:t>
      </w:r>
    </w:p>
    <w:p>
      <w:pPr>
        <w:pStyle w:val="Heading1"/>
      </w:pPr>
      <w:r>
        <w:t>4. Stage1 相似检测</w:t>
      </w:r>
    </w:p>
    <w:p>
      <w:r>
        <w:t>Stage1 采用 recall-first 策略，目标召回率 95%，允许误报进入人工复核。原始方向性配对 32,540 行，去除 7,539 条对称重复记录后得到 25,001 个唯一无向配对，无自配对记录。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016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评估口径</w:t>
            </w:r>
          </w:p>
        </w:tc>
        <w:tc>
          <w:tcPr>
            <w:tcW w:type="dxa" w:w="1152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阈值</w:t>
            </w:r>
          </w:p>
        </w:tc>
        <w:tc>
          <w:tcPr>
            <w:tcW w:type="dxa" w:w="1440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296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152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584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ROC-AUC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配对级测试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0.94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99.75%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99.62%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99.68%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99.9967%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组级测试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0.39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98.23%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95.24%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96.71%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99.6540%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9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age1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9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 Stage1 两种切分口径对比。组级结果更保守，应作为上线容量规划的主要依据。</w:t>
      </w:r>
    </w:p>
    <w:p>
      <w:pPr>
        <w:pStyle w:val="ListBullet"/>
      </w:pPr>
      <w:r>
        <w:t>配对级切分可能共享相似组信息，指标偏乐观；组级隔离更接近跨客户泛化场景。</w:t>
      </w:r>
    </w:p>
    <w:p>
      <w:pPr>
        <w:pStyle w:val="ListBullet"/>
      </w:pPr>
      <w:r>
        <w:t>全量回溯结果为 TP 3,166、FP 0、FN 0、TN 21,835，但它依赖当前标签定义，不是独立人工验证结果。</w:t>
      </w:r>
    </w:p>
    <w:p>
      <w:pPr>
        <w:pStyle w:val="Heading1"/>
      </w:pPr>
      <w:r>
        <w:t>5. Stage2 风险解释</w:t>
      </w:r>
    </w:p>
    <w:p>
      <w:r>
        <w:t>Stage2 不是独立的二分类测试集，而是对 Stage1 相似结果进行业务解释。当前 3,166 个最终相似对被归入跨客户风险、同客户复用和正常续贷/同客户变化。另有 33 对处于高相似但身份待确认状态。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28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2304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占 3,166 对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跨客户风险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2,073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65.48%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同客户复用复核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83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2.62%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正常续贷/同客户变化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1,010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31.90%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401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ge2_typ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  Stage2 全量相似结果类型分布。</w:t>
      </w:r>
    </w:p>
    <w:p>
      <w:pPr>
        <w:pStyle w:val="Heading1"/>
      </w:pPr>
      <w:r>
        <w:t>6. 欺诈监控与风险图</w:t>
      </w:r>
    </w:p>
    <w:p>
      <w:r>
        <w:t>风险监控层共分析 25,001 个配对，标记 11,447 个可疑配对，占 45.79%。其中跨客户欺诈 10,320 个，占可疑配对 90.15%；critical 级 11,242 个，占可疑配对 98.21%。这些数字表示需要关注的模型线索，不是已经人工确认的案件数。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监控指标</w:t>
            </w:r>
          </w:p>
        </w:tc>
        <w:tc>
          <w:tcPr>
            <w:tcW w:type="dxa" w:w="2016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2160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占可疑配对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same_customer_repeat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1,054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9.21%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cross_customer_fraud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10,320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90.15%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cross_customer_candidate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0.64%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urgent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3,768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32.92%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风险聚类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247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最大风险簇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1,506 个节点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风险图节点的 56.47%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40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raud_monitor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  欺诈监控可疑占比与风险等级分布。</w:t>
      </w:r>
    </w:p>
    <w:p>
      <w:pPr>
        <w:pStyle w:val="Heading1"/>
      </w:pPr>
      <w:r>
        <w:t>7. 阈值与业务策略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策略参数</w:t>
            </w:r>
          </w:p>
        </w:tc>
        <w:tc>
          <w:tcPr>
            <w:tcW w:type="dxa" w:w="1584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4320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high_risk_threshold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0.97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业务高风险阈值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medium_risk_threshold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0.93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中风险/预警阈值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cross_customer_threshold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0.95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跨客户关系阈值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same_customer_threshold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同客户关系阈值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Stage1 配对级报告阈值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0.94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相似报告口径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Stage1 组级测试阈值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0.39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组级泛化评估口径</w:t>
            </w:r>
          </w:p>
        </w:tc>
      </w:tr>
    </w:tbl>
    <w:p>
      <w:pPr>
        <w:spacing w:after="40"/>
      </w:pPr>
    </w:p>
    <w:p>
      <w:r>
        <w:t>业务策略阈值与模型验证阈值用途不同，页面应始终标注口径，不能把 0.97 直接描述为模型最优验证阈值。</w:t>
      </w:r>
    </w:p>
    <w:p>
      <w:pPr>
        <w:pStyle w:val="Heading1"/>
      </w:pPr>
      <w:r>
        <w:t>8. 网页数据一致性与缺口</w:t>
      </w:r>
    </w:p>
    <w:p>
      <w:r>
        <w:t>网页当前采用混合数据架构：首页统计和贷款详情来自 SQLite；技术报告和模型指标来自 outputs/mvp；智能检测使用当前模型桥、FAISS 和影像目录；操作记录来自 SQLite。该架构能保留业务实时状态，但数据库与 MVP 产物更新不同步时，首页数量可能与技术报告不同。</w:t>
      </w:r>
    </w:p>
    <w:p>
      <w:pPr>
        <w:pStyle w:val="ListBullet"/>
      </w:pPr>
      <w:r>
        <w:t>已修正技术报告页旧的 99.87%、99.64%、99.76% 等初始展示值，并明确分类/配对级口径。</w:t>
      </w:r>
    </w:p>
    <w:p>
      <w:pPr>
        <w:pStyle w:val="ListBullet"/>
      </w:pPr>
      <w:r>
        <w:t>已修正错误的 14,769 个影像对文案为 25,001 个唯一无向影像对。</w:t>
      </w:r>
    </w:p>
    <w:p>
      <w:pPr>
        <w:pStyle w:val="ListBullet"/>
      </w:pPr>
      <w:r>
        <w:t>当前目录缺少 stage1_similarity_report.csv、stage2_fraud_type_report.csv、threshold_experiment.csv、fraud_monitoring.csv，因此网页无法恢复明细样例和阈值曲线。</w:t>
      </w:r>
    </w:p>
    <w:p>
      <w:pPr>
        <w:pStyle w:val="Heading1"/>
      </w:pPr>
      <w:r>
        <w:t>9. 结论与上线建议</w:t>
      </w:r>
    </w:p>
    <w:p>
      <w:pPr>
        <w:pStyle w:val="ListBullet"/>
      </w:pPr>
      <w:r>
        <w:t>将组级 F1 96.71%、Recall 95.24%作为更保守的上线性能基准；配对级指标作为补充。</w:t>
      </w:r>
    </w:p>
    <w:p>
      <w:pPr>
        <w:pStyle w:val="ListBullet"/>
      </w:pPr>
      <w:r>
        <w:t>对分类 100% 结果增加真实业务噪声、跨来源样本和人工盲测，排查模板偏差或数据泄漏。</w:t>
      </w:r>
    </w:p>
    <w:p>
      <w:pPr>
        <w:pStyle w:val="ListBullet"/>
      </w:pPr>
      <w:r>
        <w:t>11,447 个可疑配对全部进入人工队列可能造成较大审核压力，建议按风险簇、客户和业务金额聚合去重。</w:t>
      </w:r>
    </w:p>
    <w:p>
      <w:pPr>
        <w:pStyle w:val="ListBullet"/>
      </w:pPr>
      <w:r>
        <w:t>优先核验 73 对身份待确认记录，并对最大风险簇做人工抽样和误报回流。</w:t>
      </w:r>
    </w:p>
    <w:p>
      <w:pPr>
        <w:pStyle w:val="ListBullet"/>
      </w:pPr>
      <w:r>
        <w:t>补齐四类明细 CSV，使网页能展示阈值实验曲线、Stage1 样例和风险最高样例。</w:t>
      </w:r>
    </w:p>
    <w:p>
      <w:pPr>
        <w:pStyle w:val="ListBullet"/>
      </w:pPr>
      <w:r>
        <w:t>所有接口返回 source、updated_at 和数据版本；前端只展示后端结果，不手写业务数字。</w:t>
      </w:r>
    </w:p>
    <w:p>
      <w:pPr>
        <w:pStyle w:val="Heading1"/>
      </w:pPr>
      <w:r>
        <w:t>10. 数据来源</w:t>
      </w:r>
    </w:p>
    <w:p>
      <w:pPr>
        <w:pStyle w:val="ListBullet"/>
      </w:pPr>
      <w:r>
        <w:t>classification_metrics.json</w:t>
      </w:r>
    </w:p>
    <w:p>
      <w:pPr>
        <w:pStyle w:val="ListBullet"/>
      </w:pPr>
      <w:r>
        <w:t>run_summary.json</w:t>
      </w:r>
    </w:p>
    <w:p>
      <w:pPr>
        <w:pStyle w:val="ListBullet"/>
      </w:pPr>
      <w:r>
        <w:t>two_stage_summary.json</w:t>
      </w:r>
    </w:p>
    <w:p>
      <w:pPr>
        <w:pStyle w:val="ListBullet"/>
      </w:pPr>
      <w:r>
        <w:t>fraud_monitoring_summary.json</w:t>
      </w:r>
    </w:p>
    <w:p>
      <w:pPr>
        <w:pStyle w:val="ListBullet"/>
      </w:pPr>
      <w:r>
        <w:t>face_manifest.csv</w:t>
      </w:r>
    </w:p>
    <w:p>
      <w:pPr>
        <w:pStyle w:val="ListBullet"/>
      </w:pPr>
      <w:r>
        <w:t>dashboard_ui/index.html</w:t>
      </w:r>
    </w:p>
    <w:p>
      <w:pPr>
        <w:pStyle w:val="ListBullet"/>
      </w:pPr>
      <w:r>
        <w:t>dashboard_ui/modern_server.py</w:t>
      </w:r>
    </w:p>
    <w:p>
      <w:pPr>
        <w:pStyle w:val="ListBullet"/>
      </w:pPr>
      <w:r>
        <w:t>web1/model_bridge.py</w:t>
      </w:r>
    </w:p>
    <w:sectPr w:rsidR="00FC693F" w:rsidRPr="0006063C" w:rsidSect="00034616">
      <w:footerReference w:type="default" r:id="rId14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MVP 技术报告 · 千影一鉴团队 · 2026-08-27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B1F4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