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7 系统测试与结果分析</w:t>
      </w:r>
    </w:p>
    <w:p>
      <w:pPr>
        <w:pStyle w:val="Heading2"/>
      </w:pPr>
      <w:r>
        <w:rPr>
          <w:rFonts w:ascii="黑体" w:hAnsi="黑体" w:eastAsia="黑体"/>
        </w:rPr>
        <w:t>7.1 测试环境与测试方法</w:t>
      </w:r>
    </w:p>
    <w:p>
      <w:pPr>
        <w:pStyle w:val="Heading3"/>
      </w:pPr>
      <w:r>
        <w:rPr>
          <w:rFonts w:ascii="黑体" w:hAnsi="黑体" w:eastAsia="黑体"/>
        </w:rPr>
        <w:t>7.1.1 测试环境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本系统的测试环境配置如表7-1所示。</w:t>
      </w:r>
    </w:p>
    <w:p>
      <w:pPr>
        <w:spacing w:before="240" w:after="120"/>
        <w:jc w:val="center"/>
      </w:pPr>
      <w:r>
        <w:rPr>
          <w:rFonts w:ascii="黑体" w:hAnsi="黑体" w:eastAsia="黑体"/>
          <w:sz w:val="21"/>
        </w:rPr>
        <w:t>表7-1 测试环境配置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配置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操作系统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Windows11 Home 10.0.26100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CPU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Intel Core i5（4核）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内存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16GB DDR4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Python版本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3.11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测试框架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unittest（Python标准库）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OCR引擎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RapidOCR + Tesseract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数据库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SQLite3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7.1.2 测试方法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本系统采用分层测试策略，包括以下三个层次：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单元测试。针对核心业务逻辑模块编写自动化测试用例，使用Python标准库unittest框架，共编写34个测试方法，覆盖OCR图像处理、发票字段提取与合并、Schema验证等关键模块。测试执行时间约1.3秒，支持快速迭代验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2）通用批量测试。通过自动化脚本对系统支持的全部16种文件格式进行端到端测试，包含正常样本集（test_documents）和边界样本集（test_documents_edge_cases）两个测试套件，共51个测试文件。测试脚本自动生成markdown报告、JSON结果文件、CSV汇总表和HTML可视化仪表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（3）发票专项评测。使用30份真实发票图片样本，覆盖电子发票、普通发票、收据和增值税专用发票四种类型，对OCR识别后的字段提取结果逐字段与人工标注真值进行比对，计算字段覆盖率和准确率。</w:t>
      </w:r>
    </w:p>
    <w:p>
      <w:pPr>
        <w:pStyle w:val="Heading3"/>
      </w:pPr>
      <w:r>
        <w:rPr>
          <w:rFonts w:ascii="黑体" w:hAnsi="黑体" w:eastAsia="黑体"/>
        </w:rPr>
        <w:t>7.1.3 测试用例设计原则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测试用例的设计遵循以下原则：一是等价类划分，将输入文件按格式类型分组，每组选取代表性样本；二是边界值分析，针对空文件、损坏文件、编码异常文件等边界情况设计专门的测试集；三是预期结果标注，每个测试文件均标注预期成功或失败状态，系统自动判定实际结果是否符合预期。</w:t>
      </w:r>
    </w:p>
    <w:p>
      <w:pPr>
        <w:pStyle w:val="Heading2"/>
      </w:pPr>
      <w:r>
        <w:rPr>
          <w:rFonts w:ascii="黑体" w:hAnsi="黑体" w:eastAsia="黑体"/>
        </w:rPr>
        <w:t>7.2 通用批量测试结果</w:t>
      </w:r>
    </w:p>
    <w:p>
      <w:pPr>
        <w:pStyle w:val="Heading3"/>
      </w:pPr>
      <w:r>
        <w:rPr>
          <w:rFonts w:ascii="黑体" w:hAnsi="黑体" w:eastAsia="黑体"/>
        </w:rPr>
        <w:t>7.2.1 测试样本构成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通用批量测试包含两个测试套件，样本构成如表7-2所示。</w:t>
      </w:r>
    </w:p>
    <w:p>
      <w:pPr>
        <w:spacing w:before="240" w:after="120"/>
        <w:jc w:val="center"/>
      </w:pPr>
      <w:r>
        <w:rPr>
          <w:rFonts w:ascii="黑体" w:hAnsi="黑体" w:eastAsia="黑体"/>
          <w:sz w:val="21"/>
        </w:rPr>
        <w:t>表7-2 批量测试样本构成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测试套件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样本数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test_documents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正常格式样本，覆盖PDF、Word、Excel、PPT、纯文本、图片等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test_documents_edge_cases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边界与异常样本，包含空文件、编码异常、损坏文件、不支持格式等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合计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—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正常样本集通过脚本自动生成，包含中英文混合内容、表格数据、特殊字符等，确保测试内容的一致性和可复现性。边界样本集手工构造，涵盖以下异常场景：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编码异常：UTF-8 BOM、GBK、UTF-16编码的文本文件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文件损坏：伪造扩展名的docx、xlsx、pptx文件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空内容：空白文档、空JSON、空CSV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极端输入：超长行文本、密集文字图片、低对比度图片、微小文字图片</w:t>
      </w:r>
    </w:p>
    <w:p>
      <w:pPr>
        <w:pStyle w:val="Heading3"/>
      </w:pPr>
      <w:r>
        <w:rPr>
          <w:rFonts w:ascii="黑体" w:hAnsi="黑体" w:eastAsia="黑体"/>
        </w:rPr>
        <w:t>7.2.2 测试结果总览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批量测试的整体结果如表7-3所示。</w:t>
      </w:r>
    </w:p>
    <w:p>
      <w:pPr>
        <w:spacing w:before="240" w:after="120"/>
        <w:jc w:val="center"/>
      </w:pPr>
      <w:r>
        <w:rPr>
          <w:rFonts w:ascii="黑体" w:hAnsi="黑体" w:eastAsia="黑体"/>
          <w:sz w:val="21"/>
        </w:rPr>
        <w:t>表7-3 批量测试结果总览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测试总数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成功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失败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成功率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80.39%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已校验预期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符合预期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异常项（不符合预期）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其中，正常样本集（test_documents）16个文件全部解析成功，成功率100%；边界样本集（test_documents_edge_cases）35个文件中25个成功、10个失败，成功率71.43%。需要指出的是，边界样本集中的10个失败样本均为预期失败（如损坏文件、不支持格式），系统正确返回了错误信息而非异常崩溃，因此35个已标注预期的样本全部符合预期，异常项为0。</w:t>
      </w:r>
    </w:p>
    <w:p>
      <w:pPr>
        <w:pStyle w:val="Heading3"/>
      </w:pPr>
      <w:r>
        <w:rPr>
          <w:rFonts w:ascii="黑体" w:hAnsi="黑体" w:eastAsia="黑体"/>
        </w:rPr>
        <w:t>7.2.3 分格式测试结果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各文件格式的测试结果如表7-4所示。</w:t>
      </w:r>
    </w:p>
    <w:p>
      <w:pPr>
        <w:spacing w:before="240" w:after="120"/>
        <w:jc w:val="center"/>
      </w:pPr>
      <w:r>
        <w:rPr>
          <w:rFonts w:ascii="黑体" w:hAnsi="黑体" w:eastAsia="黑体"/>
          <w:sz w:val="21"/>
        </w:rPr>
        <w:t>表7-4 分格式测试结果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格式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总数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成功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失败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成功率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平均耗时(ms)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.txt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1.57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.md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1.06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.csv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0.24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.json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0.38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.docx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9.50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.doc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66.67%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140.72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.xlsx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2.74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.xls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66.67%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214.37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.pptx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45.07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.pdf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5042.87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.png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4020.81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.jpg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5381.02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.bmp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14302.72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.tiff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5126.28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.webp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7247.96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从表中可以看出，纯文本类格式（txt、md、csv）解析速度极快，平均耗时不超过2ms；Office文档类格式（docx、xlsx、pptx）耗时在10-200ms范围内；图片OCR类格式耗时最长，在4-14秒之间，这是由于OCR引擎需要进行图像预处理和文字识别。失败的样本均为故意构造的损坏文件或非法格式文件，系统能够正确识别并返回有意义的错误提示。</w:t>
      </w:r>
    </w:p>
    <w:p>
      <w:pPr>
        <w:pStyle w:val="Heading2"/>
      </w:pPr>
      <w:r>
        <w:rPr>
          <w:rFonts w:ascii="黑体" w:hAnsi="黑体" w:eastAsia="黑体"/>
        </w:rPr>
        <w:t>7.3 发票专项评测结果</w:t>
      </w:r>
    </w:p>
    <w:p>
      <w:pPr>
        <w:pStyle w:val="Heading3"/>
      </w:pPr>
      <w:r>
        <w:rPr>
          <w:rFonts w:ascii="黑体" w:hAnsi="黑体" w:eastAsia="黑体"/>
        </w:rPr>
        <w:t>7.3.1 评测方案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发票专项评测使用30份真实发票图片作为测试样本，覆盖四种发票类型：电子发票（7份）、普通发票（8份）、收据（7份）和增值税专用发票（8份）。每份样本均由人工标注字段真值，标注字段包括发票代码、发票号码、开票日期、金额、税额、价税合计、购方名称、销方名称、购方税号、销方税号和发票类型共11个字段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评测流程为：系统对每张发票图片执行OCR识别和字段提取，将提取结果与人工标注真值逐字段比对。评测指标包括：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发票判定匹配率：系统是否正确判定图片为发票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字段覆盖率：已标注字段中，系统给出非空结果的比例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字段准确率：已标注字段中，系统结果与真值完全一致的比例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全样本通过率：所有标注字段均命中的样本占比</w:t>
      </w:r>
    </w:p>
    <w:p>
      <w:pPr>
        <w:pStyle w:val="Heading3"/>
      </w:pPr>
      <w:r>
        <w:rPr>
          <w:rFonts w:ascii="黑体" w:hAnsi="黑体" w:eastAsia="黑体"/>
        </w:rPr>
        <w:t>7.3.2 评测结果总览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发票专项评测的整体结果如表7-5所示。</w:t>
      </w:r>
    </w:p>
    <w:p>
      <w:pPr>
        <w:spacing w:before="240" w:after="120"/>
        <w:jc w:val="center"/>
      </w:pPr>
      <w:r>
        <w:rPr>
          <w:rFonts w:ascii="黑体" w:hAnsi="黑体" w:eastAsia="黑体"/>
          <w:sz w:val="21"/>
        </w:rPr>
        <w:t>表7-5 发票专项评测结果总览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样本总数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已标注字段总数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249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发票判定匹配率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100.00%（30/30）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全样本通过率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80.00%（24/30）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字段覆盖率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98.39%（245/249）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字段准确率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96.39%（240/249）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平均处理耗时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2.43ms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系统对全部30份样本均正确判定为发票，判定匹配率达到100%。在249个已标注字段中，系统成功提取了245个字段（覆盖率98.39%），其中240个字段与真值完全一致（准确率96.39%）。</w:t>
      </w:r>
    </w:p>
    <w:p>
      <w:pPr>
        <w:pStyle w:val="Heading3"/>
      </w:pPr>
      <w:r>
        <w:rPr>
          <w:rFonts w:ascii="黑体" w:hAnsi="黑体" w:eastAsia="黑体"/>
        </w:rPr>
        <w:t>7.3.3 分类统计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各发票类型的评测结果如表7-6所示。</w:t>
      </w:r>
    </w:p>
    <w:p>
      <w:pPr>
        <w:spacing w:before="240" w:after="120"/>
        <w:jc w:val="center"/>
      </w:pPr>
      <w:r>
        <w:rPr>
          <w:rFonts w:ascii="黑体" w:hAnsi="黑体" w:eastAsia="黑体"/>
          <w:sz w:val="21"/>
        </w:rPr>
        <w:t>表7-6 分类型评测结果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样本类别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总数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发票判定匹配率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字段准确率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全样本通过率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平均耗时(ms)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电子发票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96.43%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85.71%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1.93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普通发票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2.75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收据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2.53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增值税专用发票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92.05%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37.50%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2.46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普通发票和收据的字段准确率均达到100%，全样本通过率也为100%，表明系统对这两类发票的识别能力较强。电子发票的字段准确率为96.43%，仅1份样本未通过。增值税专用发票的表现相对较弱，字段准确率为92.05%，全样本通过率仅37.50%，这主要是由于增值税专用发票版式复杂、字段密集，OCR识别难度较大。</w:t>
      </w:r>
    </w:p>
    <w:p>
      <w:pPr>
        <w:pStyle w:val="Heading2"/>
      </w:pPr>
      <w:r>
        <w:rPr>
          <w:rFonts w:ascii="黑体" w:hAnsi="黑体" w:eastAsia="黑体"/>
        </w:rPr>
        <w:t>7.4 字段级结果分析</w:t>
      </w:r>
    </w:p>
    <w:p>
      <w:pPr>
        <w:pStyle w:val="Heading3"/>
      </w:pPr>
      <w:r>
        <w:rPr>
          <w:rFonts w:ascii="黑体" w:hAnsi="黑体" w:eastAsia="黑体"/>
        </w:rPr>
        <w:t>7.4.1 各字段识别准确率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各字段的详细评测结果如表7-7所示。</w:t>
      </w:r>
    </w:p>
    <w:p>
      <w:pPr>
        <w:spacing w:before="240" w:after="120"/>
        <w:jc w:val="center"/>
      </w:pPr>
      <w:r>
        <w:rPr>
          <w:rFonts w:ascii="黑体" w:hAnsi="黑体" w:eastAsia="黑体"/>
          <w:sz w:val="21"/>
        </w:rPr>
        <w:t>表7-7 字段级评测结果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字段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已标注数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已提取数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命中数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覆盖率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准确率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发票代码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发票号码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开票日期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金额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93.33%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93.33%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税额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86.67%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86.67%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价税合计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购方名称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销方名称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购方税号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62.50%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销方税号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75.00%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发票类型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100%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7.4.2 结果分析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从字段维度分析，系统表现可分为三个梯队：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第一梯队（准确率100%）：发票代码、发票号码、开票日期、价税合计、购方名称、销方名称、发票类型。这些字段在发票上的位置固定、格式规范，且通常字体较大、印刷清晰，OCR识别难度低。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第二梯队（准确率86%-94%）：金额和税额。这两个字段偶尔出现未提取的情况，主要原因是部分电子发票的金额区域存在多行明细，系统在汇总金额和明细金额之间的选择策略存在不足。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三梯队（准确率62%-75%）：购方税号和销方税号。税号为15-20位的字母数字混合串，OCR对长序列字符的识别容易出现单字符错误（如将数字0识别为字母O，将数字1识别为字母I），导致整体匹配失败。此外，增值税专用发票中税号区域字体较小、行距紧密，也增加了识别难度。</w:t>
      </w:r>
    </w:p>
    <w:p>
      <w:pPr>
        <w:pStyle w:val="Heading3"/>
      </w:pPr>
      <w:r>
        <w:rPr>
          <w:rFonts w:ascii="黑体" w:hAnsi="黑体" w:eastAsia="黑体"/>
        </w:rPr>
        <w:t>7.4.3 未通过样本分析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共6份样本未通过全字段验证，具体情况如表7-8所示。</w:t>
      </w:r>
    </w:p>
    <w:p>
      <w:pPr>
        <w:spacing w:before="240" w:after="120"/>
        <w:jc w:val="center"/>
      </w:pPr>
      <w:r>
        <w:rPr>
          <w:rFonts w:ascii="黑体" w:hAnsi="黑体" w:eastAsia="黑体"/>
          <w:sz w:val="21"/>
        </w:rPr>
        <w:t>表7-8 未通过样本明细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样本ID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文件名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类别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sz w:val="21"/>
              </w:rPr>
              <w:t>未命中字段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IMG004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invoice_electronic_015.png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电子发票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金额、税额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IMG023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invoice_vat_001.png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增值税专用发票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购方税号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IMG026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invoice_vat_013.png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增值税专用发票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销方税号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IMG027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invoice_vat_017.png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增值税专用发票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购方税号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IMG028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invoice_vat_021.png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增值税专用发票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购方税号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IMG030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invoice_vat_029.png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增值税专用发票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金额、税额、销方税号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未通过样本集中在增值税专用发票类型（5/6），失败字段集中在税号和金额/税额两类，与上述字段级分析结论一致。</w:t>
      </w:r>
    </w:p>
    <w:p>
      <w:pPr>
        <w:pStyle w:val="Heading2"/>
      </w:pPr>
      <w:r>
        <w:rPr>
          <w:rFonts w:ascii="黑体" w:hAnsi="黑体" w:eastAsia="黑体"/>
        </w:rPr>
        <w:t>7.5 系统不足与原因分析</w:t>
      </w:r>
    </w:p>
    <w:p>
      <w:pPr>
        <w:pStyle w:val="Heading3"/>
      </w:pPr>
      <w:r>
        <w:rPr>
          <w:rFonts w:ascii="黑体" w:hAnsi="黑体" w:eastAsia="黑体"/>
        </w:rPr>
        <w:t>7.5.1 存在的不足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通过系统测试，发现本系统在以下方面存在不足：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增值税专用发票税号识别准确率偏低。增值税专用发票的全样本通过率仅为37.50%，主要瓶颈在于税号字段。税号由15-20位字母和数字组成，任何一位识别错误都会导致整体不匹配。当前系统的多引擎合并策略虽然能修复部分错误，但对于源头OCR输出质量过低的情况仍无法有效补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（2）图片类文件处理耗时较长。OCR处理平均耗时在4-14秒之间，远高于文本类格式的毫秒级处理速度。对于批量处理场景，这一耗时可能影响用户体验。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（3）金额/税额字段在多明细场景下偶有遗漏。当发票包含多行商品明细时，系统对汇总金额行的定位策略存在不足，可能将明细金额误判为汇总金额或直接遗漏。</w:t>
      </w:r>
    </w:p>
    <w:p>
      <w:pPr>
        <w:pStyle w:val="Heading3"/>
      </w:pPr>
      <w:r>
        <w:rPr>
          <w:rFonts w:ascii="黑体" w:hAnsi="黑体" w:eastAsia="黑体"/>
        </w:rPr>
        <w:t>7.5.2 原因分析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针对上述不足，分析其主要原因如下：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税号识别问题的根源在于OCR引擎对小字体、密集排列的字母数字混合串的识别精度有限。增值税专用发票的版式特点是信息密度高、字体偏小，超出了当前OCR引擎在默认配置下的最优工作范围。虽然系统采用了多变体预处理（灰度化、自动对比度增强等）和多引擎交叉验证策略，但OCR源头输出质量仍是制约因素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2）处理耗时问题源于系统采用了多变体并行识别策略。为提高识别准确率，系统对每张图片生成多个预处理变体，分别送入RapidOCR和Tesseract引擎识别，再通过评分机制选择最优结果。这一策略提升了准确率，但也相应增加了计算时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（3）金额字段遗漏问题与发票版式的多样性有关。不同开票软件生成的发票在金额区域的排版方式存在差异，当前基于正则表达式的字段定位规则难以覆盖所有版式变体。</w:t>
      </w:r>
    </w:p>
    <w:p>
      <w:pPr>
        <w:pStyle w:val="Heading3"/>
      </w:pPr>
      <w:r>
        <w:rPr>
          <w:rFonts w:ascii="黑体" w:hAnsi="黑体" w:eastAsia="黑体"/>
        </w:rPr>
        <w:t>7.5.3 改进方向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针对上述问题，可从以下方向进行改进：一是引入针对票据场景优化的专用OCR模型，提升小字体和密集文本的识别精度；二是对图片预处理流程进行优化，在保证准确率的前提下减少不必要的变体计算；三是积累更多发票版式样本，完善金额区域的定位规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