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left="0" w:firstLine="0"/>
        <w:jc w:val="center"/>
      </w:pPr>
      <w:r>
        <w:rPr>
          <w:rFonts w:ascii="Times New Roman" w:hAnsi="Times New Roman"/>
          <w:b/>
          <w:i w:val="0"/>
          <w:color w:val="263248"/>
          <w:sz w:val="28"/>
        </w:rPr>
        <w:t>FLOOD DETECTION FROM AERIAL IMAGERY USING DEEP LEARNING</w:t>
      </w:r>
    </w:p>
    <w:p>
      <w:pPr>
        <w:spacing w:before="0" w:after="40"/>
        <w:ind w:left="0" w:firstLine="0"/>
        <w:jc w:val="center"/>
      </w:pPr>
      <w:r>
        <w:rPr>
          <w:rFonts w:ascii="Times New Roman" w:hAnsi="Times New Roman"/>
          <w:b w:val="0"/>
          <w:i w:val="0"/>
          <w:sz w:val="22"/>
        </w:rPr>
        <w:t>Pavithran S, BalaYoghi V, Vishal K</w:t>
      </w:r>
    </w:p>
    <w:p>
      <w:pPr>
        <w:spacing w:before="0" w:after="0"/>
        <w:ind w:left="0" w:firstLine="0"/>
        <w:jc w:val="center"/>
      </w:pPr>
      <w:r>
        <w:rPr>
          <w:rFonts w:ascii="Times New Roman" w:hAnsi="Times New Roman"/>
          <w:b w:val="0"/>
          <w:i w:val="0"/>
          <w:sz w:val="22"/>
        </w:rPr>
        <w:t>Third year, Artificial Intelligence and Data Science,</w:t>
      </w:r>
    </w:p>
    <w:p>
      <w:pPr>
        <w:spacing w:before="0" w:after="120"/>
        <w:ind w:left="0" w:firstLine="0"/>
        <w:jc w:val="center"/>
      </w:pPr>
      <w:r>
        <w:rPr>
          <w:rFonts w:ascii="Times New Roman" w:hAnsi="Times New Roman"/>
          <w:b w:val="0"/>
          <w:i w:val="0"/>
          <w:sz w:val="22"/>
        </w:rPr>
        <w:t>Kamaraj College of Engineering and Technology, Virudhunagar.</w:t>
      </w:r>
    </w:p>
    <w:p>
      <w:pPr>
        <w:spacing w:before="120" w:after="60"/>
        <w:ind w:left="0" w:firstLine="0"/>
      </w:pPr>
      <w:r>
        <w:rPr>
          <w:rFonts w:ascii="Times New Roman" w:hAnsi="Times New Roman"/>
          <w:b/>
          <w:i w:val="0"/>
          <w:color w:val="263248"/>
          <w:sz w:val="24"/>
        </w:rPr>
        <w:t>Objectives:</w:t>
      </w:r>
    </w:p>
    <w:p>
      <w:pPr>
        <w:pStyle w:val="ListBullet"/>
        <w:spacing w:before="0" w:after="60"/>
        <w:ind w:left="461" w:hanging="259"/>
      </w:pPr>
      <w:r>
        <w:rPr>
          <w:rFonts w:ascii="Times New Roman" w:hAnsi="Times New Roman"/>
          <w:sz w:val="22"/>
        </w:rPr>
        <w:t>To build a binary classifier that separates flood from no-flood aerial images using MobileNetV2 transfer learning.</w:t>
      </w:r>
    </w:p>
    <w:p>
      <w:pPr>
        <w:pStyle w:val="ListBullet"/>
        <w:spacing w:before="0" w:after="60"/>
        <w:ind w:left="461" w:hanging="259"/>
      </w:pPr>
      <w:r>
        <w:rPr>
          <w:rFonts w:ascii="Times New Roman" w:hAnsi="Times New Roman"/>
          <w:sz w:val="22"/>
        </w:rPr>
        <w:t>To audit the dataset for shortcuts before training, so that the reported accuracy measures flood content and not the way the photographs were captured.</w:t>
      </w:r>
    </w:p>
    <w:p>
      <w:pPr>
        <w:pStyle w:val="ListBullet"/>
        <w:spacing w:before="0" w:after="60"/>
        <w:ind w:left="461" w:hanging="259"/>
      </w:pPr>
      <w:r>
        <w:rPr>
          <w:rFonts w:ascii="Times New Roman" w:hAnsi="Times New Roman"/>
          <w:sz w:val="22"/>
        </w:rPr>
        <w:t>To compare a frozen feature extractor against a fine-tuned backbone across three random seeds, selecting the variant on validation data alone.</w:t>
      </w:r>
    </w:p>
    <w:p>
      <w:pPr>
        <w:pStyle w:val="ListBullet"/>
        <w:spacing w:before="0" w:after="60"/>
        <w:ind w:left="461" w:hanging="259"/>
      </w:pPr>
      <w:r>
        <w:rPr>
          <w:rFonts w:ascii="Times New Roman" w:hAnsi="Times New Roman"/>
          <w:sz w:val="22"/>
        </w:rPr>
        <w:t>To tune the decision threshold so that recall is maximised under a precision floor of 0.85, because a missed flood costs lives while a false alarm costs an inspection.</w:t>
      </w:r>
    </w:p>
    <w:p>
      <w:pPr>
        <w:pStyle w:val="ListBullet"/>
        <w:spacing w:before="0" w:after="60"/>
        <w:ind w:left="461" w:hanging="259"/>
      </w:pPr>
      <w:r>
        <w:rPr>
          <w:rFonts w:ascii="Times New Roman" w:hAnsi="Times New Roman"/>
          <w:sz w:val="22"/>
        </w:rPr>
        <w:t>To explain every prediction with a Grad-CAM heat map and to verify that evidence with a size-controlled deletion test.</w:t>
      </w:r>
    </w:p>
    <w:p>
      <w:pPr>
        <w:pStyle w:val="ListBullet"/>
        <w:spacing w:before="0" w:after="60"/>
        <w:ind w:left="461" w:hanging="259"/>
      </w:pPr>
      <w:r>
        <w:rPr>
          <w:rFonts w:ascii="Times New Roman" w:hAnsi="Times New Roman"/>
          <w:sz w:val="22"/>
        </w:rPr>
        <w:t>To deploy the trained model as a Streamlit application and export TensorFlow Lite builds for drones and phones.</w:t>
      </w:r>
    </w:p>
    <w:p>
      <w:pPr>
        <w:spacing w:before="120" w:after="60"/>
        <w:ind w:left="0" w:firstLine="0"/>
      </w:pPr>
      <w:r>
        <w:rPr>
          <w:rFonts w:ascii="Times New Roman" w:hAnsi="Times New Roman"/>
          <w:b/>
          <w:i w:val="0"/>
          <w:color w:val="263248"/>
          <w:sz w:val="24"/>
        </w:rPr>
        <w:t>Problem Statement:</w:t>
      </w:r>
    </w:p>
    <w:p>
      <w:pPr>
        <w:spacing w:before="0" w:after="80"/>
        <w:ind w:left="0" w:firstLine="432"/>
        <w:jc w:val="both"/>
      </w:pPr>
      <w:r>
        <w:rPr>
          <w:rFonts w:ascii="Times New Roman" w:hAnsi="Times New Roman"/>
          <w:b w:val="0"/>
          <w:i w:val="0"/>
          <w:sz w:val="22"/>
        </w:rPr>
        <w:t>Floods are among the most frequent and destructive natural disasters, and the speed of the emergency response depends on how quickly the flooded areas are located. Drones and aircraft now capture far more aerial imagery than human operators can inspect in time, so the bottleneck is no longer taking the pictures but reading them. This project automates that reading step: it classifies an aerial image as flood or no flood using a MobileNetV2 network that is first trained as a frozen feature extractor and then fine-tuned on the AIDER aerial dataset. Because a wrong verdict in a disaster either costs lives or wastes rescue effort, the system also shows the visual evidence behind every decision as a Grad-CAM heat map, so that an operator can tell whether the model responded to flood water or to something irrelevant. The decision threshold is chosen on validation data only, and the held-out test set never influences any choice.</w:t>
      </w:r>
    </w:p>
    <w:p>
      <w:pPr>
        <w:spacing w:before="120" w:after="60"/>
        <w:ind w:left="0" w:firstLine="0"/>
      </w:pPr>
      <w:r>
        <w:rPr>
          <w:rFonts w:ascii="Times New Roman" w:hAnsi="Times New Roman"/>
          <w:b/>
          <w:i w:val="0"/>
          <w:color w:val="263248"/>
          <w:sz w:val="24"/>
        </w:rPr>
        <w:t>Methodology Diagram:</w:t>
      </w:r>
    </w:p>
    <w:p>
      <w:pPr>
        <w:spacing w:before="40" w:after="40"/>
        <w:jc w:val="center"/>
      </w:pPr>
      <w:r>
        <w:drawing>
          <wp:inline xmlns:a="http://schemas.openxmlformats.org/drawingml/2006/main" xmlns:pic="http://schemas.openxmlformats.org/drawingml/2006/picture">
            <wp:extent cx="5120640" cy="2295097"/>
            <wp:docPr id="1" name="Picture 1"/>
            <wp:cNvGraphicFramePr>
              <a:graphicFrameLocks noChangeAspect="1"/>
            </wp:cNvGraphicFramePr>
            <a:graphic>
              <a:graphicData uri="http://schemas.openxmlformats.org/drawingml/2006/picture">
                <pic:pic>
                  <pic:nvPicPr>
                    <pic:cNvPr id="0" name="methodology.png"/>
                    <pic:cNvPicPr/>
                  </pic:nvPicPr>
                  <pic:blipFill>
                    <a:blip r:embed="rId9"/>
                    <a:stretch>
                      <a:fillRect/>
                    </a:stretch>
                  </pic:blipFill>
                  <pic:spPr>
                    <a:xfrm>
                      <a:off x="0" y="0"/>
                      <a:ext cx="5120640" cy="2295097"/>
                    </a:xfrm>
                    <a:prstGeom prst="rect"/>
                  </pic:spPr>
                </pic:pic>
              </a:graphicData>
            </a:graphic>
          </wp:inline>
        </w:drawing>
      </w:r>
    </w:p>
    <w:p>
      <w:pPr>
        <w:spacing w:after="0"/>
      </w:pPr>
      <w:r>
        <w:br w:type="page"/>
      </w:r>
    </w:p>
    <w:p>
      <w:pPr>
        <w:spacing w:before="120" w:after="60"/>
        <w:ind w:left="0" w:firstLine="0"/>
      </w:pPr>
      <w:r>
        <w:rPr>
          <w:rFonts w:ascii="Times New Roman" w:hAnsi="Times New Roman"/>
          <w:b/>
          <w:i w:val="0"/>
          <w:color w:val="263248"/>
          <w:sz w:val="24"/>
        </w:rPr>
        <w:t>Screenshots:</w:t>
      </w:r>
    </w:p>
    <w:tbl>
      <w:tblPr>
        <w:tblW w:type="auto" w:w="0"/>
        <w:jc w:val="center"/>
        <w:tblLayout w:type="fixed"/>
        <w:tblLook w:firstColumn="1" w:firstRow="1" w:lastColumn="0" w:lastRow="0" w:noHBand="0" w:noVBand="1" w:val="04A0"/>
      </w:tblPr>
      <w:tblGrid>
        <w:gridCol w:w="4824"/>
        <w:gridCol w:w="4824"/>
      </w:tblGrid>
      <w:tr>
        <w:tc>
          <w:tcPr>
            <w:tcW w:type="dxa" w:w="4464"/>
          </w:tcPr>
          <w:p>
            <w:pPr>
              <w:jc w:val="center"/>
            </w:pPr>
            <w:r>
              <w:drawing>
                <wp:inline xmlns:a="http://schemas.openxmlformats.org/drawingml/2006/main" xmlns:pic="http://schemas.openxmlformats.org/drawingml/2006/picture">
                  <wp:extent cx="2542032" cy="1652321"/>
                  <wp:docPr id="2" name="Picture 2"/>
                  <wp:cNvGraphicFramePr>
                    <a:graphicFrameLocks noChangeAspect="1"/>
                  </wp:cNvGraphicFramePr>
                  <a:graphic>
                    <a:graphicData uri="http://schemas.openxmlformats.org/drawingml/2006/picture">
                      <pic:pic>
                        <pic:nvPicPr>
                          <pic:cNvPr id="0" name="app_3.png"/>
                          <pic:cNvPicPr/>
                        </pic:nvPicPr>
                        <pic:blipFill>
                          <a:blip r:embed="rId10"/>
                          <a:stretch>
                            <a:fillRect/>
                          </a:stretch>
                        </pic:blipFill>
                        <pic:spPr>
                          <a:xfrm>
                            <a:off x="0" y="0"/>
                            <a:ext cx="2542032" cy="1652321"/>
                          </a:xfrm>
                          <a:prstGeom prst="rect"/>
                        </pic:spPr>
                      </pic:pic>
                    </a:graphicData>
                  </a:graphic>
                </wp:inline>
              </w:drawing>
            </w:r>
          </w:p>
        </w:tc>
        <w:tc>
          <w:tcPr>
            <w:tcW w:type="dxa" w:w="4464"/>
          </w:tcPr>
          <w:p>
            <w:pPr>
              <w:jc w:val="center"/>
            </w:pPr>
            <w:r>
              <w:drawing>
                <wp:inline xmlns:a="http://schemas.openxmlformats.org/drawingml/2006/main" xmlns:pic="http://schemas.openxmlformats.org/drawingml/2006/picture">
                  <wp:extent cx="2542032" cy="1652321"/>
                  <wp:docPr id="3" name="Picture 3"/>
                  <wp:cNvGraphicFramePr>
                    <a:graphicFrameLocks noChangeAspect="1"/>
                  </wp:cNvGraphicFramePr>
                  <a:graphic>
                    <a:graphicData uri="http://schemas.openxmlformats.org/drawingml/2006/picture">
                      <pic:pic>
                        <pic:nvPicPr>
                          <pic:cNvPr id="0" name="app_4.png"/>
                          <pic:cNvPicPr/>
                        </pic:nvPicPr>
                        <pic:blipFill>
                          <a:blip r:embed="rId11"/>
                          <a:stretch>
                            <a:fillRect/>
                          </a:stretch>
                        </pic:blipFill>
                        <pic:spPr>
                          <a:xfrm>
                            <a:off x="0" y="0"/>
                            <a:ext cx="2542032" cy="1652321"/>
                          </a:xfrm>
                          <a:prstGeom prst="rect"/>
                        </pic:spPr>
                      </pic:pic>
                    </a:graphicData>
                  </a:graphic>
                </wp:inline>
              </w:drawing>
            </w:r>
          </w:p>
        </w:tc>
      </w:tr>
      <w:tr>
        <w:tc>
          <w:tcPr>
            <w:tcW w:type="dxa" w:w="4464"/>
          </w:tcPr>
          <w:p>
            <w:pPr>
              <w:jc w:val="center"/>
            </w:pPr>
            <w:r>
              <w:rPr>
                <w:rFonts w:ascii="Times New Roman" w:hAnsi="Times New Roman"/>
                <w:i/>
                <w:sz w:val="18"/>
              </w:rPr>
              <w:t>Fig. 1  Flood detected — P(flood) = 99.97 %</w:t>
            </w:r>
          </w:p>
        </w:tc>
        <w:tc>
          <w:tcPr>
            <w:tcW w:type="dxa" w:w="4464"/>
          </w:tcPr>
          <w:p>
            <w:pPr>
              <w:jc w:val="center"/>
            </w:pPr>
            <w:r>
              <w:rPr>
                <w:rFonts w:ascii="Times New Roman" w:hAnsi="Times New Roman"/>
                <w:i/>
                <w:sz w:val="18"/>
              </w:rPr>
              <w:t>Fig. 2  No flood — P(flood) = 4.71 %</w:t>
            </w:r>
          </w:p>
        </w:tc>
      </w:tr>
    </w:tbl>
    <w:p>
      <w:pPr>
        <w:spacing w:before="120" w:after="60"/>
        <w:ind w:left="0" w:firstLine="0"/>
      </w:pPr>
      <w:r>
        <w:rPr>
          <w:rFonts w:ascii="Times New Roman" w:hAnsi="Times New Roman"/>
          <w:b/>
          <w:i w:val="0"/>
          <w:color w:val="263248"/>
          <w:sz w:val="24"/>
        </w:rPr>
        <w:t>Results:</w:t>
      </w:r>
    </w:p>
    <w:tbl>
      <w:tblPr>
        <w:tblStyle w:val="TableGrid"/>
        <w:tblW w:type="auto" w:w="0"/>
        <w:jc w:val="center"/>
        <w:tblLook w:firstColumn="1" w:firstRow="1" w:lastColumn="0" w:lastRow="0" w:noHBand="0" w:noVBand="1" w:val="04A0"/>
      </w:tblPr>
      <w:tblGrid>
        <w:gridCol w:w="4824"/>
        <w:gridCol w:w="4824"/>
      </w:tblGrid>
      <w:tr>
        <w:tc>
          <w:tcPr>
            <w:tcW w:type="dxa" w:w="5184"/>
          </w:tcPr>
          <w:p>
            <w:pPr>
              <w:spacing w:before="20" w:after="20"/>
            </w:pPr>
            <w:r>
              <w:rPr>
                <w:rFonts w:ascii="Times New Roman" w:hAnsi="Times New Roman"/>
                <w:b/>
                <w:sz w:val="20"/>
              </w:rPr>
              <w:t>Metric — test set, 228 images, threshold 0.30</w:t>
            </w:r>
          </w:p>
        </w:tc>
        <w:tc>
          <w:tcPr>
            <w:tcW w:type="dxa" w:w="3960"/>
          </w:tcPr>
          <w:p>
            <w:pPr>
              <w:spacing w:before="20" w:after="20"/>
            </w:pPr>
            <w:r>
              <w:rPr>
                <w:rFonts w:ascii="Times New Roman" w:hAnsi="Times New Roman"/>
                <w:b/>
                <w:sz w:val="20"/>
              </w:rPr>
              <w:t>Value</w:t>
            </w:r>
          </w:p>
        </w:tc>
      </w:tr>
      <w:tr>
        <w:tc>
          <w:tcPr>
            <w:tcW w:type="dxa" w:w="5184"/>
          </w:tcPr>
          <w:p>
            <w:pPr>
              <w:spacing w:before="20" w:after="20"/>
            </w:pPr>
            <w:r>
              <w:rPr>
                <w:rFonts w:ascii="Times New Roman" w:hAnsi="Times New Roman"/>
                <w:b w:val="0"/>
                <w:sz w:val="20"/>
              </w:rPr>
              <w:t>Recall (floods found)</w:t>
            </w:r>
          </w:p>
        </w:tc>
        <w:tc>
          <w:tcPr>
            <w:tcW w:type="dxa" w:w="3960"/>
          </w:tcPr>
          <w:p>
            <w:pPr>
              <w:spacing w:before="20" w:after="20"/>
            </w:pPr>
            <w:r>
              <w:rPr>
                <w:rFonts w:ascii="Times New Roman" w:hAnsi="Times New Roman"/>
                <w:b w:val="0"/>
                <w:sz w:val="20"/>
              </w:rPr>
              <w:t>0.987  —  77 of 78</w:t>
            </w:r>
          </w:p>
        </w:tc>
      </w:tr>
      <w:tr>
        <w:tc>
          <w:tcPr>
            <w:tcW w:type="dxa" w:w="5184"/>
          </w:tcPr>
          <w:p>
            <w:pPr>
              <w:spacing w:before="20" w:after="20"/>
            </w:pPr>
            <w:r>
              <w:rPr>
                <w:rFonts w:ascii="Times New Roman" w:hAnsi="Times New Roman"/>
                <w:b w:val="0"/>
                <w:sz w:val="20"/>
              </w:rPr>
              <w:t>Precision</w:t>
            </w:r>
          </w:p>
        </w:tc>
        <w:tc>
          <w:tcPr>
            <w:tcW w:type="dxa" w:w="3960"/>
          </w:tcPr>
          <w:p>
            <w:pPr>
              <w:spacing w:before="20" w:after="20"/>
            </w:pPr>
            <w:r>
              <w:rPr>
                <w:rFonts w:ascii="Times New Roman" w:hAnsi="Times New Roman"/>
                <w:b w:val="0"/>
                <w:sz w:val="20"/>
              </w:rPr>
              <w:t>0.865  —  12 false alarms among 150</w:t>
            </w:r>
          </w:p>
        </w:tc>
      </w:tr>
      <w:tr>
        <w:tc>
          <w:tcPr>
            <w:tcW w:type="dxa" w:w="5184"/>
          </w:tcPr>
          <w:p>
            <w:pPr>
              <w:spacing w:before="20" w:after="20"/>
            </w:pPr>
            <w:r>
              <w:rPr>
                <w:rFonts w:ascii="Times New Roman" w:hAnsi="Times New Roman"/>
                <w:b w:val="0"/>
                <w:sz w:val="20"/>
              </w:rPr>
              <w:t>F1 score / Accuracy</w:t>
            </w:r>
          </w:p>
        </w:tc>
        <w:tc>
          <w:tcPr>
            <w:tcW w:type="dxa" w:w="3960"/>
          </w:tcPr>
          <w:p>
            <w:pPr>
              <w:spacing w:before="20" w:after="20"/>
            </w:pPr>
            <w:r>
              <w:rPr>
                <w:rFonts w:ascii="Times New Roman" w:hAnsi="Times New Roman"/>
                <w:b w:val="0"/>
                <w:sz w:val="20"/>
              </w:rPr>
              <w:t>0.922  /  0.943</w:t>
            </w:r>
          </w:p>
        </w:tc>
      </w:tr>
      <w:tr>
        <w:tc>
          <w:tcPr>
            <w:tcW w:type="dxa" w:w="5184"/>
          </w:tcPr>
          <w:p>
            <w:pPr>
              <w:spacing w:before="20" w:after="20"/>
            </w:pPr>
            <w:r>
              <w:rPr>
                <w:rFonts w:ascii="Times New Roman" w:hAnsi="Times New Roman"/>
                <w:b w:val="0"/>
                <w:sz w:val="20"/>
              </w:rPr>
              <w:t>ROC AUC / Average precision</w:t>
            </w:r>
          </w:p>
        </w:tc>
        <w:tc>
          <w:tcPr>
            <w:tcW w:type="dxa" w:w="3960"/>
          </w:tcPr>
          <w:p>
            <w:pPr>
              <w:spacing w:before="20" w:after="20"/>
            </w:pPr>
            <w:r>
              <w:rPr>
                <w:rFonts w:ascii="Times New Roman" w:hAnsi="Times New Roman"/>
                <w:b w:val="0"/>
                <w:sz w:val="20"/>
              </w:rPr>
              <w:t>0.9955  /  0.9932</w:t>
            </w:r>
          </w:p>
        </w:tc>
      </w:tr>
    </w:tbl>
    <w:p>
      <w:pPr>
        <w:spacing w:before="120" w:after="60"/>
        <w:ind w:left="0" w:firstLine="0"/>
      </w:pPr>
      <w:r>
        <w:rPr>
          <w:rFonts w:ascii="Times New Roman" w:hAnsi="Times New Roman"/>
          <w:b/>
          <w:i w:val="0"/>
          <w:color w:val="263248"/>
          <w:sz w:val="24"/>
        </w:rPr>
        <w:t>System Requirements:</w:t>
      </w:r>
    </w:p>
    <w:p>
      <w:pPr>
        <w:spacing w:before="0" w:after="40"/>
        <w:ind w:left="0" w:firstLine="0"/>
      </w:pPr>
      <w:r>
        <w:rPr>
          <w:rFonts w:ascii="Times New Roman" w:hAnsi="Times New Roman"/>
          <w:b/>
          <w:i w:val="0"/>
          <w:sz w:val="22"/>
        </w:rPr>
        <w:t>H/W requirements:</w:t>
      </w:r>
    </w:p>
    <w:p>
      <w:pPr>
        <w:spacing w:before="0" w:after="20"/>
        <w:ind w:left="432" w:firstLine="0"/>
      </w:pPr>
      <w:r>
        <w:rPr>
          <w:rFonts w:ascii="Times New Roman" w:hAnsi="Times New Roman"/>
          <w:b w:val="0"/>
          <w:i w:val="0"/>
          <w:sz w:val="22"/>
        </w:rPr>
        <w:t>Processor: Apple silicon M-series or x86-64 CPU (developed on an Apple M4)</w:t>
      </w:r>
    </w:p>
    <w:p>
      <w:pPr>
        <w:spacing w:before="0" w:after="20"/>
        <w:ind w:left="432" w:firstLine="0"/>
      </w:pPr>
      <w:r>
        <w:rPr>
          <w:rFonts w:ascii="Times New Roman" w:hAnsi="Times New Roman"/>
          <w:b w:val="0"/>
          <w:i w:val="0"/>
          <w:sz w:val="22"/>
        </w:rPr>
        <w:t>RAM: 8 GB minimum, 16 GB recommended</w:t>
      </w:r>
    </w:p>
    <w:p>
      <w:pPr>
        <w:spacing w:before="0" w:after="20"/>
        <w:ind w:left="432" w:firstLine="0"/>
      </w:pPr>
      <w:r>
        <w:rPr>
          <w:rFonts w:ascii="Times New Roman" w:hAnsi="Times New Roman"/>
          <w:b w:val="0"/>
          <w:i w:val="0"/>
          <w:sz w:val="22"/>
        </w:rPr>
        <w:t>Hard Disk: 5 GB free space</w:t>
      </w:r>
    </w:p>
    <w:p>
      <w:pPr>
        <w:spacing w:before="0" w:after="20"/>
        <w:ind w:left="432" w:firstLine="0"/>
      </w:pPr>
      <w:r>
        <w:rPr>
          <w:rFonts w:ascii="Times New Roman" w:hAnsi="Times New Roman"/>
          <w:b w:val="0"/>
          <w:i w:val="0"/>
          <w:sz w:val="22"/>
        </w:rPr>
        <w:t>GPU: optional — Apple Metal GPU used through tensorflow-metal</w:t>
      </w:r>
    </w:p>
    <w:p>
      <w:pPr>
        <w:spacing w:before="0" w:after="20"/>
        <w:ind w:left="432" w:firstLine="0"/>
      </w:pPr>
      <w:r>
        <w:rPr>
          <w:rFonts w:ascii="Times New Roman" w:hAnsi="Times New Roman"/>
          <w:b w:val="0"/>
          <w:i w:val="0"/>
          <w:sz w:val="22"/>
        </w:rPr>
        <w:t>Operating system: macOS, Linux or Windows</w:t>
      </w:r>
    </w:p>
    <w:p>
      <w:pPr>
        <w:spacing w:before="80" w:after="40"/>
        <w:ind w:left="0" w:firstLine="0"/>
      </w:pPr>
      <w:r>
        <w:rPr>
          <w:rFonts w:ascii="Times New Roman" w:hAnsi="Times New Roman"/>
          <w:b/>
          <w:i w:val="0"/>
          <w:sz w:val="22"/>
        </w:rPr>
        <w:t>S/W requirements:</w:t>
      </w:r>
    </w:p>
    <w:p>
      <w:pPr>
        <w:spacing w:before="0" w:after="20"/>
        <w:ind w:left="432" w:firstLine="0"/>
      </w:pPr>
      <w:r>
        <w:rPr>
          <w:rFonts w:ascii="Times New Roman" w:hAnsi="Times New Roman"/>
          <w:b w:val="0"/>
          <w:i w:val="0"/>
          <w:sz w:val="22"/>
        </w:rPr>
        <w:t>Python version 3.11</w:t>
      </w:r>
    </w:p>
    <w:p>
      <w:pPr>
        <w:spacing w:before="0" w:after="20"/>
        <w:ind w:left="432" w:firstLine="0"/>
      </w:pPr>
      <w:r>
        <w:rPr>
          <w:rFonts w:ascii="Times New Roman" w:hAnsi="Times New Roman"/>
          <w:b w:val="0"/>
          <w:i w:val="0"/>
          <w:sz w:val="22"/>
        </w:rPr>
        <w:t>Deep learning libraries: TensorFlow 2.16.2, Keras 3.15.1, TensorFlow Lite</w:t>
      </w:r>
    </w:p>
    <w:p>
      <w:pPr>
        <w:spacing w:before="0" w:after="20"/>
        <w:ind w:left="432" w:firstLine="0"/>
      </w:pPr>
      <w:r>
        <w:rPr>
          <w:rFonts w:ascii="Times New Roman" w:hAnsi="Times New Roman"/>
          <w:b w:val="0"/>
          <w:i w:val="0"/>
          <w:sz w:val="22"/>
        </w:rPr>
        <w:t>Supporting libraries: NumPy, Pandas, scikit-learn, OpenCV, Matplotlib</w:t>
      </w:r>
    </w:p>
    <w:p>
      <w:pPr>
        <w:spacing w:before="0" w:after="20"/>
        <w:ind w:left="432" w:firstLine="0"/>
      </w:pPr>
      <w:r>
        <w:rPr>
          <w:rFonts w:ascii="Times New Roman" w:hAnsi="Times New Roman"/>
          <w:b w:val="0"/>
          <w:i w:val="0"/>
          <w:sz w:val="22"/>
        </w:rPr>
        <w:t>Streamlit 1.60 for the web application</w:t>
      </w:r>
    </w:p>
    <w:p>
      <w:pPr>
        <w:spacing w:before="0" w:after="20"/>
        <w:ind w:left="432" w:firstLine="0"/>
      </w:pPr>
      <w:r>
        <w:rPr>
          <w:rFonts w:ascii="Times New Roman" w:hAnsi="Times New Roman"/>
          <w:b w:val="0"/>
          <w:i w:val="0"/>
          <w:sz w:val="22"/>
        </w:rPr>
        <w:t>Dataset: AIDER — Aerial Image Dataset for Emergency Response, licensed CC BY 4.0</w:t>
      </w:r>
    </w:p>
    <w:p>
      <w:pPr>
        <w:spacing w:before="120" w:after="60"/>
        <w:ind w:left="0" w:firstLine="0"/>
      </w:pPr>
      <w:r>
        <w:rPr>
          <w:rFonts w:ascii="Times New Roman" w:hAnsi="Times New Roman"/>
          <w:b/>
          <w:i w:val="0"/>
          <w:color w:val="263248"/>
          <w:sz w:val="24"/>
        </w:rPr>
        <w:t>Conclusion:</w:t>
      </w:r>
    </w:p>
    <w:p>
      <w:pPr>
        <w:pStyle w:val="ListBullet"/>
        <w:spacing w:before="0" w:after="60"/>
        <w:ind w:left="461" w:hanging="259"/>
      </w:pPr>
      <w:r>
        <w:rPr>
          <w:rFonts w:ascii="Times New Roman" w:hAnsi="Times New Roman"/>
          <w:sz w:val="22"/>
        </w:rPr>
        <w:t>The fine-tuned MobileNetV2 finds 77 of the 78 flood images in the held-out test set at ROC AUC 0.9955, so aerial flood screening can be automated reliably.</w:t>
      </w:r>
    </w:p>
    <w:p>
      <w:pPr>
        <w:pStyle w:val="ListBullet"/>
        <w:spacing w:before="0" w:after="60"/>
        <w:ind w:left="461" w:hanging="259"/>
      </w:pPr>
      <w:r>
        <w:rPr>
          <w:rFonts w:ascii="Times New Roman" w:hAnsi="Times New Roman"/>
          <w:sz w:val="22"/>
        </w:rPr>
        <w:t>Fine-tuning the backbone is measurably better than using it frozen — test accuracy 0.9649 ± 0.0044 against 0.9474 ± 0.0494 over three seeds.</w:t>
      </w:r>
    </w:p>
    <w:p>
      <w:pPr>
        <w:pStyle w:val="ListBullet"/>
        <w:spacing w:before="0" w:after="60"/>
        <w:ind w:left="461" w:hanging="259"/>
      </w:pPr>
      <w:r>
        <w:rPr>
          <w:rFonts w:ascii="Times New Roman" w:hAnsi="Times New Roman"/>
          <w:sz w:val="22"/>
        </w:rPr>
        <w:t>Grad-CAM together with a deletion test shows that the verdict rests on the region the heat map highlights, which gives an operator a reason to trust or reject it.</w:t>
      </w:r>
    </w:p>
    <w:p>
      <w:pPr>
        <w:pStyle w:val="ListBullet"/>
        <w:spacing w:before="0" w:after="60"/>
        <w:ind w:left="461" w:hanging="259"/>
      </w:pPr>
      <w:r>
        <w:rPr>
          <w:rFonts w:ascii="Times New Roman" w:hAnsi="Times New Roman"/>
          <w:sz w:val="22"/>
        </w:rPr>
        <w:t>The 4.57 MB float16 TensorFlow Lite export runs in 7.3 ms on a CPU and reproduces every decision of the full model, so the system can run on a drone or a phone.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