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jc w:val="center"/>
      </w:pPr>
      <w:r>
        <w:t>Desarrollo de un escáner ligero OWASP para aplicaciones web de bajo costo en PYMEs peruanas</w:t>
      </w:r>
    </w:p>
    <w:p>
      <w:pPr>
        <w:jc w:val="center"/>
      </w:pPr>
      <w:r>
        <w:rPr>
          <w:b/>
        </w:rPr>
        <w:t>Subtítulo:</w:t>
      </w:r>
      <w:r>
        <w:t xml:space="preserve"> Prototipo modular en Python y evaluación en un laboratorio local controlado</w:t>
      </w:r>
    </w:p>
    <w:p>
      <w:pPr>
        <w:jc w:val="center"/>
      </w:pPr>
      <w:r>
        <w:rPr>
          <w:b/>
        </w:rPr>
        <w:t>Universidad:</w:t>
      </w:r>
      <w:r>
        <w:t xml:space="preserve"> Universidad Nacional Mayor de San Marcos — Universidad del Perú, Decana de América</w:t>
      </w:r>
    </w:p>
    <w:p>
      <w:pPr>
        <w:jc w:val="center"/>
      </w:pPr>
      <w:r>
        <w:rPr>
          <w:b/>
        </w:rPr>
        <w:t>Facultad:</w:t>
      </w:r>
      <w:r>
        <w:t xml:space="preserve"> Facultad de Ingeniería de Sistemas e Informática</w:t>
      </w:r>
    </w:p>
    <w:p>
      <w:pPr>
        <w:jc w:val="center"/>
      </w:pPr>
      <w:r>
        <w:rPr>
          <w:b/>
        </w:rPr>
        <w:t>Escuela:</w:t>
      </w:r>
      <w:r>
        <w:t xml:space="preserve"> Escuela Profesional de Ingeniería de Sistemas</w:t>
      </w:r>
    </w:p>
    <w:p>
      <w:pPr>
        <w:jc w:val="center"/>
      </w:pPr>
      <w:r>
        <w:rPr>
          <w:b/>
        </w:rPr>
        <w:t>Tesista:</w:t>
      </w:r>
      <w:r>
        <w:t xml:space="preserve"> Emerson Palacios Calle</w:t>
      </w:r>
    </w:p>
    <w:p>
      <w:pPr>
        <w:jc w:val="center"/>
      </w:pPr>
      <w:r>
        <w:rPr>
          <w:b/>
        </w:rPr>
        <w:t>Asesor:</w:t>
      </w:r>
      <w:r>
        <w:t xml:space="preserve"> Carlos Edmundo Navarro Depaz</w:t>
      </w:r>
    </w:p>
    <w:p>
      <w:r>
        <w:br w:type="page"/>
      </w:r>
    </w:p>
    <w:p>
      <w:pPr>
        <w:pStyle w:val="Heading1"/>
      </w:pPr>
      <w:r>
        <w:t>Dedicatoria</w:t>
      </w:r>
    </w:p>
    <w:p>
      <w:r>
        <w:t>[PENDIENTE DE TEXTO DEL TESISTA]</w:t>
      </w:r>
    </w:p>
    <w:p>
      <w:pPr>
        <w:pStyle w:val="Heading1"/>
      </w:pPr>
      <w:r>
        <w:t>Agradecimientos</w:t>
      </w:r>
    </w:p>
    <w:p>
      <w:r>
        <w:t>[PENDIENTE DE TEXTO DEL TESISTA]</w:t>
      </w:r>
    </w:p>
    <w:p>
      <w:pPr>
        <w:pStyle w:val="Heading1"/>
      </w:pPr>
      <w:r>
        <w:t>Resumen</w:t>
      </w:r>
    </w:p>
    <w:p>
      <w:r>
        <w:t>Esta tesis desarrolla un escáner web modular en Python para una selección de señales asociadas a OWASP: reconocimiento y perfilado de WordPress, Joomla y Laravel, reflejo HTML indicativo de XSS, errores SQL indicativos y cabeceras de seguridad. La interfaz de línea de comandos permite elegir módulos y generar reportes de texto o JSON. El escáner usa peticiones GET limitadas a la URL suministrada y sus parámetros existentes; no rastrea enlaces ni ejecuta pruebas destructivas.</w:t>
      </w:r>
    </w:p>
    <w:p>
      <w:r>
        <w:t>La evaluación se realizó en un laboratorio local con tres contenedores que exponen casos PHP positivos y negativos conocidos, además de sus páginas principales. Se ejecutaron 45 procesos del CLI: nueve casos con cinco repeticiones cada uno. Al agregar por mayoría las repeticiones, las cinco señales de seguridad produjeron 15 verdaderos positivos, 15 verdaderos negativos, ningún falso positivo y ningún falso negativo en el banco construido. La precisión y el recall fueron 1,00 para ese banco; las tres tecnologías se reconocieron correctamente en sus páginas principales. El tiempo interno mediano del escaneo de seguridad fue 0,0309 s y el pico de memoria mediano fue 30,26 MiB en el equipo de prueba. Estos valores no estiman el desempeño en PYMEs peruanas: los tres entornos comparten los mismos endpoints de seguridad y no hubo evaluación con usuarios ni aplicaciones externas. Se conservan manifiesto, corridas crudas, comandos y método de cálculo para reproducir los resultados.</w:t>
      </w:r>
    </w:p>
    <w:p>
      <w:r>
        <w:rPr>
          <w:b/>
        </w:rPr>
        <w:t>Palabras clave:</w:t>
      </w:r>
      <w:r>
        <w:t xml:space="preserve"> seguridad web; OWASP; escáner modular; XSS reflejado; inyección SQL; evaluación reproducible.</w:t>
      </w:r>
    </w:p>
    <w:p>
      <w:r>
        <w:br w:type="page"/>
      </w:r>
    </w:p>
    <w:p>
      <w:pPr>
        <w:pStyle w:val="Heading1"/>
      </w:pPr>
      <w:r>
        <w:t>Abstract</w:t>
      </w:r>
    </w:p>
    <w:p>
      <w:r>
        <w:t>This thesis develops a modular Python web scanner for selected OWASP related signals: recognition and profiling of WordPress, Joomla, and Laravel, indicative HTML reflection for XSS, indicative SQL errors, and security headers. Its command line interface supports module selection and text or JSON reports. The scanner sends bounded GET requests to the supplied URL and its existing parameters; it does not crawl links or perform destructive tests.</w:t>
      </w:r>
    </w:p>
    <w:p>
      <w:r>
        <w:t>The evaluation used a local laboratory with three containers serving known positive and negative PHP cases alongside their home pages. Forty-five fresh CLI processes covered nine cases with five repetitions each. After majority aggregation, the five security signals yielded 15 true positives, 15 true negatives, no false positives, and no false negatives in this constructed test set. Precision and recall were 1.00 for that set; all three technologies were correctly recognized on their home pages. Median internal security scan time was 0.0309 s, and median peak process memory was 30.26 MiB on the test computer. These figures do not estimate performance in Peruvian small and medium-sized enterprises: the three environments shared the same security endpoints, and no user or external application study was conducted. The manifest, raw runs, commands, and calculation method are retained for reproducibility.</w:t>
      </w:r>
    </w:p>
    <w:p>
      <w:r>
        <w:rPr>
          <w:b/>
        </w:rPr>
        <w:t>Keywords:</w:t>
      </w:r>
      <w:r>
        <w:t xml:space="preserve"> web security; OWASP; modular scanner; reflected XSS; SQL injection; reproducible evaluation.</w:t>
      </w:r>
    </w:p>
    <w:p>
      <w:r>
        <w:br w:type="page"/>
      </w:r>
    </w:p>
    <w:p>
      <w:pPr>
        <w:pStyle w:val="Heading1"/>
      </w:pPr>
      <w:r>
        <w:t>Índice de tablas</w:t>
      </w:r>
    </w:p>
    <w:p>
      <w:pPr>
        <w:ind w:left="397" w:hanging="283"/>
      </w:pPr>
      <w:r>
        <w:t>• Tabla 3.1. Protocolo de comparación entre herramientas — p. 15.</w:t>
      </w:r>
    </w:p>
    <w:p>
      <w:pPr>
        <w:ind w:left="397" w:hanging="283"/>
      </w:pPr>
      <w:r>
        <w:t>• Tabla 6.1. Clasificación por caso y código de señal en el laboratorio local — p. 27.</w:t>
      </w:r>
    </w:p>
    <w:p>
      <w:pPr>
        <w:ind w:left="397" w:hanging="283"/>
      </w:pPr>
      <w:r>
        <w:t>• Tabla 6.2. Recursos observados en 45 procesos frescos — p. 28.</w:t>
      </w:r>
    </w:p>
    <w:p>
      <w:pPr>
        <w:ind w:left="397" w:hanging="283"/>
      </w:pPr>
      <w:r>
        <w:t>• Anexo B. Instrumento y verdad de referencia — p. 33.</w:t>
      </w:r>
    </w:p>
    <w:p>
      <w:pPr>
        <w:ind w:left="397" w:hanging="283"/>
      </w:pPr>
      <w:r>
        <w:t>• Anexo D. Tabla completa de corridas — p. 34.</w:t>
      </w:r>
    </w:p>
    <w:p>
      <w:pPr>
        <w:pStyle w:val="Heading1"/>
      </w:pPr>
      <w:r>
        <w:t>Índice de figuras</w:t>
      </w:r>
    </w:p>
    <w:p>
      <w:pPr>
        <w:ind w:left="397" w:hanging="283"/>
      </w:pPr>
      <w:r>
        <w:t>• Figura 4.1. Flujo de componentes del escáner — p. 19.</w:t>
      </w:r>
    </w:p>
    <w:p>
      <w:pPr>
        <w:ind w:left="397" w:hanging="283"/>
      </w:pPr>
      <w:r>
        <w:t>• Figura 5.1. Flujo de ejecución por URL y módulos — p. 22.</w:t>
      </w:r>
    </w:p>
    <w:p>
      <w:pPr>
        <w:pStyle w:val="Heading1"/>
      </w:pPr>
      <w:r>
        <w:t>Índice general</w:t>
      </w:r>
    </w:p>
    <w:p>
      <w:pPr>
        <w:tabs>
          <w:tab w:pos="7937" w:val="right" w:leader="dot"/>
        </w:tabs>
        <w:spacing w:after="40" w:line="276" w:lineRule="auto"/>
      </w:pPr>
      <w:r>
        <w:rPr>
          <w:sz w:val="20"/>
        </w:rPr>
        <w:t>Capítulo 1. Planteamiento del problema</w:t>
        <w:tab/>
        <w:t>5</w:t>
      </w:r>
    </w:p>
    <w:p>
      <w:pPr>
        <w:tabs>
          <w:tab w:pos="7937" w:val="right" w:leader="dot"/>
        </w:tabs>
        <w:spacing w:after="40" w:line="276" w:lineRule="auto"/>
      </w:pPr>
      <w:r>
        <w:rPr>
          <w:sz w:val="20"/>
        </w:rPr>
        <w:t>Capítulo 2. Marco teórico</w:t>
        <w:tab/>
        <w:t>9</w:t>
      </w:r>
    </w:p>
    <w:p>
      <w:pPr>
        <w:tabs>
          <w:tab w:pos="7937" w:val="right" w:leader="dot"/>
        </w:tabs>
        <w:spacing w:after="40" w:line="276" w:lineRule="auto"/>
      </w:pPr>
      <w:r>
        <w:rPr>
          <w:sz w:val="20"/>
        </w:rPr>
        <w:t>Capítulo 3. Estado del arte</w:t>
        <w:tab/>
        <w:t>14</w:t>
      </w:r>
    </w:p>
    <w:p>
      <w:pPr>
        <w:tabs>
          <w:tab w:pos="7937" w:val="right" w:leader="dot"/>
        </w:tabs>
        <w:spacing w:after="40" w:line="276" w:lineRule="auto"/>
      </w:pPr>
      <w:r>
        <w:rPr>
          <w:sz w:val="20"/>
        </w:rPr>
        <w:t>Capítulo 4. Aporte teórico</w:t>
        <w:tab/>
        <w:t>18</w:t>
      </w:r>
    </w:p>
    <w:p>
      <w:pPr>
        <w:tabs>
          <w:tab w:pos="7937" w:val="right" w:leader="dot"/>
        </w:tabs>
        <w:spacing w:after="40" w:line="276" w:lineRule="auto"/>
      </w:pPr>
      <w:r>
        <w:rPr>
          <w:sz w:val="20"/>
        </w:rPr>
        <w:t>Capítulo 5. Aporte práctico</w:t>
        <w:tab/>
        <w:t>21</w:t>
      </w:r>
    </w:p>
    <w:p>
      <w:pPr>
        <w:tabs>
          <w:tab w:pos="7937" w:val="right" w:leader="dot"/>
        </w:tabs>
        <w:spacing w:after="40" w:line="276" w:lineRule="auto"/>
      </w:pPr>
      <w:r>
        <w:rPr>
          <w:sz w:val="20"/>
        </w:rPr>
        <w:t>Capítulo 6. Análisis de resultados</w:t>
        <w:tab/>
        <w:t>27</w:t>
      </w:r>
    </w:p>
    <w:p>
      <w:pPr>
        <w:tabs>
          <w:tab w:pos="7937" w:val="right" w:leader="dot"/>
        </w:tabs>
        <w:spacing w:after="40" w:line="276" w:lineRule="auto"/>
      </w:pPr>
      <w:r>
        <w:rPr>
          <w:sz w:val="20"/>
        </w:rPr>
        <w:t>Conclusiones</w:t>
        <w:tab/>
        <w:t>29</w:t>
      </w:r>
    </w:p>
    <w:p>
      <w:pPr>
        <w:tabs>
          <w:tab w:pos="7937" w:val="right" w:leader="dot"/>
        </w:tabs>
        <w:spacing w:after="40" w:line="276" w:lineRule="auto"/>
      </w:pPr>
      <w:r>
        <w:rPr>
          <w:sz w:val="20"/>
        </w:rPr>
        <w:t>Recomendaciones</w:t>
        <w:tab/>
        <w:t>30</w:t>
      </w:r>
    </w:p>
    <w:p>
      <w:pPr>
        <w:tabs>
          <w:tab w:pos="7937" w:val="right" w:leader="dot"/>
        </w:tabs>
        <w:spacing w:after="40" w:line="276" w:lineRule="auto"/>
      </w:pPr>
      <w:r>
        <w:rPr>
          <w:sz w:val="20"/>
        </w:rPr>
        <w:t>Trabajos futuros</w:t>
        <w:tab/>
        <w:t>31</w:t>
      </w:r>
    </w:p>
    <w:p>
      <w:pPr>
        <w:tabs>
          <w:tab w:pos="7937" w:val="right" w:leader="dot"/>
        </w:tabs>
        <w:spacing w:after="40" w:line="276" w:lineRule="auto"/>
      </w:pPr>
      <w:r>
        <w:rPr>
          <w:sz w:val="20"/>
        </w:rPr>
        <w:t>Referencias bibliográficas</w:t>
        <w:tab/>
        <w:t>32</w:t>
      </w:r>
    </w:p>
    <w:p>
      <w:pPr>
        <w:tabs>
          <w:tab w:pos="7937" w:val="right" w:leader="dot"/>
        </w:tabs>
        <w:spacing w:after="40" w:line="276" w:lineRule="auto"/>
      </w:pPr>
      <w:r>
        <w:rPr>
          <w:sz w:val="20"/>
        </w:rPr>
        <w:t>Anexos</w:t>
        <w:tab/>
        <w:t>33</w:t>
      </w:r>
    </w:p>
    <w:p>
      <w:r>
        <w:br w:type="page"/>
      </w:r>
    </w:p>
    <w:p>
      <w:pPr>
        <w:pStyle w:val="Heading1"/>
      </w:pPr>
      <w:r>
        <w:t>Capítulo 1: Planteamiento del problema</w:t>
      </w:r>
    </w:p>
    <w:p>
      <w:pPr>
        <w:pStyle w:val="Heading2"/>
      </w:pPr>
      <w:r>
        <w:t>1.1. Antecedentes</w:t>
      </w:r>
    </w:p>
    <w:p>
      <w:r>
        <w:t>La presencia de sitios web en pequeñas y medianas empresas plantea la necesidad de revisar su seguridad. El INEI (2022, p. 42), con datos de 2019 de empresas privadas con ventas superiores a 150 UIT, registró sitio web o presencia en uno para el 24,3% de pequeñas empresas y el 43,4% de medianas. Esa medición histórica describe presencia digital, no vulnerabilidades ni uso de un CMS. [PENDIENTE DE VERIFICACIÓN: datos primarios sobre exposición a fallas web en PYMEs peruanas.] La cifra de 45 500 millones de intentos atribuida a Fortinet en una versión anterior solo se rastreó hasta cobertura de prensa; no se utiliza aquí como medida de incidentes sufridos por PYMEs ni de vulnerabilidades web.</w:t>
      </w:r>
    </w:p>
    <w:p>
      <w:r>
        <w:t>El sondeo atribuido a Movistar Empresas 2023 se ha citado en cobertura secundaria, pero el instrumento y el informe primario aún no están disponibles en este repositorio. Por ello, sus porcentajes de 88% y 36% no se emplean como evidencia del problema. La posible barrera económica y técnica se tratará como hipótesis contextual hasta documentar costos, recursos y necesidades de usuarios con fuentes o mediciones comparables.</w:t>
      </w:r>
    </w:p>
    <w:p>
      <w:r>
        <w:t>Existen herramientas gratuitas y comerciales para el análisis de seguridad web, entre ellas OWASP ZAP, Nikto y Burp Suite Professional. La tesis evaluará una alternativa de alcance acotado. [PENDIENTE DE VERIFICACIÓN: comparación de costo, recursos y facilidad de uso bajo un mismo protocolo; la cifra de precio incluida en el borrador anterior no tiene fuente vigente.]</w:t>
      </w:r>
    </w:p>
    <w:p>
      <w:r>
        <w:t>La propuesta desarrolla un prototipo de alcance delimitado para explorar esa necesidad. El laboratorio permite medir su funcionamiento técnico, pero aún no demuestra que pueda operar en hosting compartido ni que sus reportes sean comprensibles para administradores sin formación en seguridad.</w:t>
      </w:r>
    </w:p>
    <w:p>
      <w:pPr>
        <w:pStyle w:val="Heading2"/>
      </w:pPr>
      <w:r>
        <w:t>1.2. Descripción del problema</w:t>
      </w:r>
    </w:p>
    <w:p>
      <w:r>
        <w:t>Las aplicaciones web pueden exponer fallas de entrada, salida y configuración HTTP. En el contexto de las PYMEs peruanas, esta tesis plantea como hipótesis de trabajo que una revisión acotada y de bajo costo operativo podría facilitar la identificación inicial de algunas señales de riesgo. La magnitud de la exposición y las restricciones reales de presupuesto o personal requieren datos primarios que todavía no se han obtenido.</w:t>
      </w:r>
    </w:p>
    <w:p>
      <w:r>
        <w:t>La ausencia de monitoreo después de publicar un sitio es una posible fuente de exposición que esta tesis no ha cuantificado aún para PYMEs peruanas. [PENDIENTE DE VERIFICACIÓN: obtener la fuente directa y el contexto de las declaraciones atribuidas a Jimmy Armas en el borrador anterior.]</w:t>
      </w:r>
    </w:p>
    <w:p>
      <w:r>
        <w:t>No se dispone aquí de un censo que permita afirmar cuántos sitios de PYMEs peruanas presentan esas fallas o carecen de monitoreo. El problema investigable de esta etapa es si un escáner ligero puede ejecutar pruebas seleccionadas de manera reproducible y reportar sus límites con claridad en entornos controlados.</w:t>
      </w:r>
    </w:p>
    <w:p>
      <w:pPr>
        <w:pStyle w:val="Heading2"/>
      </w:pPr>
      <w:r>
        <w:t>1.3. Definición del problema</w:t>
      </w:r>
    </w:p>
    <w:p>
      <w:r>
        <w:t>¿Cómo desarrollar y evaluar un escáner web modular y no destructivo que detecte un conjunto delimitado de señales de riesgo y presente recomendaciones comprensibles, con recursos y desempeño medidos en entornos controlados?</w:t>
      </w:r>
    </w:p>
    <w:p>
      <w:pPr>
        <w:pStyle w:val="Heading3"/>
      </w:pPr>
      <w:r>
        <w:t>1.3.1. Problema principal</w:t>
      </w:r>
    </w:p>
    <w:p>
      <w:pPr>
        <w:ind w:left="397" w:hanging="283"/>
      </w:pPr>
      <w:r>
        <w:t>• ¿Cómo implementar y evaluar técnicamente un escáner web modular de alcance acotado para WordPress, Joomla y Laravel en un laboratorio local controlado?</w:t>
      </w:r>
    </w:p>
    <w:p>
      <w:pPr>
        <w:pStyle w:val="Heading3"/>
      </w:pPr>
      <w:r>
        <w:t>1.3.2. Problemas secundarios</w:t>
      </w:r>
    </w:p>
    <w:p>
      <w:pPr>
        <w:ind w:left="397" w:hanging="283"/>
      </w:pPr>
      <w:r>
        <w:t>• ¿Qué señales de riesgo pueden probarse mediante GET de forma acotada y sin modificar datos?</w:t>
      </w:r>
    </w:p>
    <w:p>
      <w:pPr>
        <w:ind w:left="397" w:hanging="283"/>
      </w:pPr>
      <w:r>
        <w:t>• ¿Cómo se organizan los módulos y las salidas para mantener trazabilidad entre observación y recomendación?</w:t>
      </w:r>
    </w:p>
    <w:p>
      <w:pPr>
        <w:ind w:left="397" w:hanging="283"/>
      </w:pPr>
      <w:r>
        <w:t>• ¿Qué resultados de detección, tiempo y memoria se obtienen en casos positivos y negativos conocidos?</w:t>
      </w:r>
    </w:p>
    <w:p>
      <w:pPr>
        <w:ind w:left="397" w:hanging="283"/>
      </w:pPr>
      <w:r>
        <w:t>• ¿Qué funciones y criterios de comprensión necesitan una evaluación posterior con usuarios y aplicaciones reales?</w:t>
      </w:r>
    </w:p>
    <w:p>
      <w:pPr>
        <w:pStyle w:val="Heading2"/>
      </w:pPr>
      <w:r>
        <w:t>1.4. Objetivos</w:t>
      </w:r>
    </w:p>
    <w:p>
      <w:pPr>
        <w:pStyle w:val="Heading3"/>
      </w:pPr>
      <w:r>
        <w:t>1.4.1. Objetivo general</w:t>
      </w:r>
    </w:p>
    <w:p>
      <w:r>
        <w:t>Desarrollar y evaluar en un laboratorio local un escáner web modular en Python para señales seleccionadas de XSS reflejado, SQLi basada en errores y cabeceras de seguridad, con reconocimiento de WordPress, Joomla y Laravel, como base para una posible evaluación posterior en PYMEs peruanas.</w:t>
      </w:r>
    </w:p>
    <w:p>
      <w:pPr>
        <w:pStyle w:val="Heading3"/>
      </w:pPr>
      <w:r>
        <w:t>1.4.2. Objetivos específicos</w:t>
      </w:r>
    </w:p>
    <w:p>
      <w:pPr>
        <w:ind w:left="397" w:hanging="283"/>
      </w:pPr>
      <w:r>
        <w:t>1. Seleccionar y justificar un subconjunto de pruebas por alcance OWASP, observabilidad HTTP, riesgo operativo y costo medible de ejecución; estudiar prevalencia solo si se consigue una fuente comparable.</w:t>
      </w:r>
    </w:p>
    <w:p>
      <w:pPr>
        <w:ind w:left="397" w:hanging="283"/>
      </w:pPr>
      <w:r>
        <w:t>2. Diseñar una arquitectura modular con módulos seleccionables, CLI y salidas de texto y JSON.</w:t>
      </w:r>
    </w:p>
    <w:p>
      <w:pPr>
        <w:ind w:left="397" w:hanging="283"/>
      </w:pPr>
      <w:r>
        <w:t>3. Implementar reconocimiento y perfilado de WordPress, Joomla y Laravel; XSS reflejado indicativo, SQLi no destructiva basada en errores y análisis de cabeceras.</w:t>
      </w:r>
    </w:p>
    <w:p>
      <w:pPr>
        <w:ind w:left="397" w:hanging="283"/>
      </w:pPr>
      <w:r>
        <w:t>4. Evaluar el prototipo en entornos locales replicados mediante casos positivos y negativos conocidos, precisión, recall, tiempo y pico de memoria.</w:t>
      </w:r>
    </w:p>
    <w:p>
      <w:pPr>
        <w:ind w:left="397" w:hanging="283"/>
      </w:pPr>
      <w:r>
        <w:t>5. Documentar el uso y producir reportes con evidencia, recomendación y límites explícitos; dejar su comprensión por administradores como criterio de una evaluación posterior.</w:t>
      </w:r>
    </w:p>
    <w:p>
      <w:pPr>
        <w:pStyle w:val="Heading2"/>
      </w:pPr>
      <w:r>
        <w:t>1.5. Justificación</w:t>
      </w:r>
    </w:p>
    <w:p>
      <w:r>
        <w:t>El trabajo estudia la factibilidad técnica de una herramienta acotada que describa observaciones HTTP y pruebas activas indicativas. El código y los datos crudos permiten reproducir sus resultados de laboratorio. Su costo total, utilidad operativa y comprensión por administradores todavía no se han evaluado en PYMEs.</w:t>
      </w:r>
    </w:p>
    <w:p>
      <w:r>
        <w:t>Desde la ingeniería de software, el trabajo relaciona requisitos, módulos, casos controlados y métricas. La evaluación de usabilidad y de otros contextos de despliegue queda como trabajo posterior.</w:t>
      </w:r>
    </w:p>
    <w:p>
      <w:pPr>
        <w:pStyle w:val="Heading2"/>
      </w:pPr>
      <w:r>
        <w:t>1.6. Alcances y limitaciones</w:t>
      </w:r>
    </w:p>
    <w:p>
      <w:r>
        <w:rPr>
          <w:b/>
        </w:rPr>
        <w:t>Alcances:</w:t>
      </w:r>
    </w:p>
    <w:p>
      <w:pPr>
        <w:ind w:left="397" w:hanging="283"/>
      </w:pPr>
      <w:r>
        <w:t>• Escaneo no destructivo orientado al OWASP Top 10 (reflejado, no intrusivo).</w:t>
      </w:r>
    </w:p>
    <w:p>
      <w:pPr>
        <w:ind w:left="397" w:hanging="283"/>
      </w:pPr>
      <w:r>
        <w:t>• Tecnologías objetivo: WordPress, Joomla, Laravel.</w:t>
      </w:r>
    </w:p>
    <w:p>
      <w:pPr>
        <w:ind w:left="397" w:hanging="283"/>
      </w:pPr>
      <w:r>
        <w:t>• Entornos de prueba en Docker Compose replicables.</w:t>
      </w:r>
    </w:p>
    <w:p>
      <w:pPr>
        <w:ind w:left="397" w:hanging="283"/>
      </w:pPr>
      <w:r>
        <w:t>• Métricas cuantitativas: precisión, recall, tiempo, carga.</w:t>
      </w:r>
    </w:p>
    <w:p>
      <w:r>
        <w:rPr>
          <w:b/>
        </w:rPr>
        <w:t>Limitaciones:</w:t>
      </w:r>
    </w:p>
    <w:p>
      <w:pPr>
        <w:ind w:left="397" w:hanging="283"/>
      </w:pPr>
      <w:r>
        <w:t>• No incluye pruebas destructivas (no se ejecutan payloads que modifiquen datos).</w:t>
      </w:r>
    </w:p>
    <w:p>
      <w:pPr>
        <w:ind w:left="397" w:hanging="283"/>
      </w:pPr>
      <w:r>
        <w:t>• Cobertura limitada a vectores comunes y de bajo riesgo operativo.</w:t>
      </w:r>
    </w:p>
    <w:p>
      <w:pPr>
        <w:ind w:left="397" w:hanging="283"/>
      </w:pPr>
      <w:r>
        <w:t>• La herramienta no reemplaza auditorías profesionales.</w:t>
      </w:r>
    </w:p>
    <w:p>
      <w:pPr>
        <w:ind w:left="397" w:hanging="283"/>
      </w:pPr>
      <w:r>
        <w:t>• La evaluación técnica inicial usa entornos locales controlados; una eventual validación con PYMEs requiere participantes, consentimiento y protocolo documentados.</w:t>
      </w:r>
    </w:p>
    <w:p>
      <w:pPr>
        <w:pStyle w:val="Heading2"/>
      </w:pPr>
      <w:r>
        <w:t>1.7. Propuesta de tesis</w:t>
      </w:r>
    </w:p>
    <w:p>
      <w:r>
        <w:rPr>
          <w:b/>
        </w:rPr>
        <w:t>Título tentativo:</w:t>
      </w:r>
      <w:r>
        <w:t xml:space="preserve"> Desarrollo de un escáner ligero OWASP para aplicaciones web de bajo costo en PYMEs peruanas: prototipo modular en Python y evaluación local controlada</w:t>
      </w:r>
    </w:p>
    <w:p>
      <w:pPr>
        <w:pStyle w:val="Heading2"/>
      </w:pPr>
      <w:r>
        <w:t>1.8. Organización de la tesis</w:t>
      </w:r>
    </w:p>
    <w:p>
      <w:r>
        <w:t>El capítulo 2 presenta los conceptos y fuentes que sustentan el alcance; el capítulo 3 expone el estado del arte y el método; el capítulo 4 define la arquitectura propuesta; el capítulo 5 documenta la implementación y el protocolo de evaluación; el capítulo 6 presenta únicamente resultados de ejecuciones reproducibles. Las conclusiones responden a los objetivos dentro de esos límites; los anexos conservan la configuración, el instrumento y las corridas completas.</w:t>
      </w:r>
    </w:p>
    <w:p>
      <w:r>
        <w:br w:type="page"/>
      </w:r>
    </w:p>
    <w:p>
      <w:pPr>
        <w:pStyle w:val="Heading1"/>
      </w:pPr>
      <w:r>
        <w:t>Capítulo 2: Marco teórico</w:t>
      </w:r>
    </w:p>
    <w:p>
      <w:pPr>
        <w:pStyle w:val="Heading2"/>
      </w:pPr>
      <w:r>
        <w:t>2.1. Revisión de la literatura</w:t>
      </w:r>
    </w:p>
    <w:p>
      <w:r>
        <w:t>La OWASP Web Security Testing Guide v4.2 distingue el análisis pasivo del activo y presenta un marco para probar controles de seguridad de aplicaciones web. Esa guía permite definir una metodología de prueba; no demuestra la eficacia ni la utilidad para PYMEs del prototipo de esta tesis. La sección 2.1.1 separa un manuscrito completo consultado, tres resúmenes editoriales y un trabajo identificado solo por metadatos. [PENDIENTE DE VERIFICACIÓN: literatura y datos primarios sobre recursos, costos y necesidades de PYMEs peruanas.]</w:t>
      </w:r>
    </w:p>
    <w:p>
      <w:pPr>
        <w:pStyle w:val="Heading3"/>
      </w:pPr>
      <w:r>
        <w:t>2.1.1. Artículos científicos relevantes</w:t>
      </w:r>
    </w:p>
    <w:p>
      <w:r>
        <w:t xml:space="preserve">✅ </w:t>
      </w:r>
      <w:r>
        <w:rPr>
          <w:b/>
        </w:rPr>
        <w:t>Auditoría de citas completada (Sprint 1, 2026-07-14):</w:t>
      </w:r>
      <w:r>
        <w:t xml:space="preserve"> los 8 DOIs originales de este documento fueron verificados contra Crossref y ninguno correspondía al paper citado (autores/años equivocados, o DOIs sin relación alguna, o inexistentes). El detalle completo de la auditoría y cómo se resolvió cada caso está en </w:t>
      </w:r>
      <w:r>
        <w:rPr>
          <w:rFonts w:ascii="Consolas" w:hAnsi="Consolas"/>
          <w:sz w:val="18"/>
        </w:rPr>
        <w:t>docs/notas-verificacion.md</w:t>
      </w:r>
      <w:r>
        <w:t>, sección 1. La lista de abajo ya refleja las citas corregidas — mismos temas, autores y DOIs reales.</w:t>
      </w:r>
    </w:p>
    <w:p>
      <w:pPr>
        <w:ind w:left="397" w:hanging="283"/>
      </w:pPr>
      <w:r>
        <w:t xml:space="preserve">1. </w:t>
      </w:r>
      <w:r>
        <w:rPr>
          <w:i/>
        </w:rPr>
        <w:t>"A comparative study of web application security scanners for vulnerability detection"</w:t>
      </w:r>
      <w:r>
        <w:t xml:space="preserve"> — Abualese, H., &amp; Al-Rousan, T., 2023. DOI: 10.26634/jse.17.4.19813</w:t>
      </w:r>
    </w:p>
    <w:p>
      <w:pPr>
        <w:ind w:left="397" w:hanging="283"/>
      </w:pPr>
      <w:r>
        <w:t xml:space="preserve">2. </w:t>
      </w:r>
      <w:r>
        <w:rPr>
          <w:i/>
        </w:rPr>
        <w:t>"An efficient technique for preventing SQL injection attack using pattern matching algorithm"</w:t>
      </w:r>
      <w:r>
        <w:t xml:space="preserve"> — Prabakar, M.A., Karthikeyan, M., &amp; Marimuthu, K., 2013. DOI: 10.1109/ICE-CCN.2013.6528551</w:t>
      </w:r>
    </w:p>
    <w:p>
      <w:pPr>
        <w:ind w:left="397" w:hanging="283"/>
      </w:pPr>
      <w:r>
        <w:t xml:space="preserve">3. </w:t>
      </w:r>
      <w:r>
        <w:rPr>
          <w:i/>
        </w:rPr>
        <w:t>"Web Security Vulnerability Analysis and Mitigation Based on OWASP TOP 10"</w:t>
      </w:r>
      <w:r>
        <w:t xml:space="preserve"> — Syarifudin, M., Widyawati, L., &amp; Asroni, O., 2025. DOI: 10.59934/jaiea.v4i3.1029</w:t>
      </w:r>
    </w:p>
    <w:p>
      <w:pPr>
        <w:ind w:left="397" w:hanging="283"/>
      </w:pPr>
      <w:r>
        <w:t xml:space="preserve">4. </w:t>
      </w:r>
      <w:r>
        <w:rPr>
          <w:i/>
        </w:rPr>
        <w:t>"An empirical comparison of commercial and open-source web vulnerability scanners"</w:t>
      </w:r>
      <w:r>
        <w:t xml:space="preserve"> — Amankwah, R., Chen, J., Kudjo, P.K., &amp; Towey, D., 2020. DOI: 10.1002/spe.2870</w:t>
      </w:r>
    </w:p>
    <w:p>
      <w:pPr>
        <w:ind w:left="397" w:hanging="283"/>
      </w:pPr>
      <w:r>
        <w:t xml:space="preserve">5. </w:t>
      </w:r>
      <w:r>
        <w:rPr>
          <w:i/>
        </w:rPr>
        <w:t>"Analyzing Security Testing Tools for Web Applications"</w:t>
      </w:r>
      <w:r>
        <w:t xml:space="preserve"> — Aljebry, A.F., Alqahtani, Y.M., &amp; Sulaiman, N., 2022. DOI: 10.1007/978-981-16-2594-7_34</w:t>
      </w:r>
    </w:p>
    <w:p>
      <w:r>
        <w:rPr>
          <w:b/>
        </w:rPr>
        <w:t>Estado de lectura:</w:t>
      </w:r>
      <w:r>
        <w:t xml:space="preserve"> se consultó el manuscrito completo de Amankwah et al. (2020), publicado por un coautor; los resúmenes de Abualese y Al-Rousan (2023), Syarifudin et al. (2025) y Aljebry et al. (2022) están en las páginas editoriales. El texto de Prabakar et al. (2013) no se obtuvo. Las afirmaciones de resultados o métodos se limitan al contenido efectivamente leído; ningún resultado de terceros se trata como medición de este prototipo.</w:t>
      </w:r>
    </w:p>
    <w:p>
      <w:pPr>
        <w:pStyle w:val="Heading2"/>
      </w:pPr>
      <w:r>
        <w:t>2.2. Desarrollo de los ejes temáticos</w:t>
      </w:r>
    </w:p>
    <w:p>
      <w:pPr>
        <w:pStyle w:val="Heading3"/>
      </w:pPr>
      <w:r>
        <w:t>2.2.1. Panorama de ciberseguridad en PYMEs peruanas</w:t>
      </w:r>
    </w:p>
    <w:p>
      <w:r>
        <w:t>El informe del INEI (2022, p. 42) registra presencia en sitios web por tamaño empresarial para 2019, pero su cobertura se limita a empresas privadas con ventas superiores a 150 UIT y no mide vulnerabilidades, tecnologías del sitio ni necesidades de análisis de seguridad. No se dispone todavía de una serie primaria y comparable sobre adopción de WordPress, Joomla y Laravel por PYMEs peruanas. Este trabajo no extrapola a ese universo los resultados obtenidos con tres entornos locales.</w:t>
      </w:r>
    </w:p>
    <w:p>
      <w:r>
        <w:t xml:space="preserve">Las cifras antes atribuidas a OSIPTEL (crecimiento de CMS), INEI (prácticas de análisis y conocimiento de OWASP) y CERT-Perú (proporción SQLi/XSS) se retiraron por falta de fuente verificable. Su historial permanece en </w:t>
      </w:r>
      <w:r>
        <w:rPr>
          <w:rFonts w:ascii="Consolas" w:hAnsi="Consolas"/>
          <w:sz w:val="18"/>
        </w:rPr>
        <w:t>docs/notas-verificacion.md</w:t>
      </w:r>
      <w:r>
        <w:t>. La elección de WordPress, Joomla y Laravel delimita el prototipo y no presume una distribución estadística de CMS en PYMEs peruanas.</w:t>
      </w:r>
    </w:p>
    <w:p>
      <w:pPr>
        <w:pStyle w:val="Heading3"/>
      </w:pPr>
      <w:r>
        <w:t>2.2.2. Metodología OWASP como estándar técnico</w:t>
      </w:r>
    </w:p>
    <w:p>
      <w:r>
        <w:t>El OWASP Top 10 2021 ofrece un marco de referencia general. Estas categorías ayudan a situar el alcance técnico, sin demostrar cuáles son las más frecuentes en PYMEs peruanas:</w:t>
      </w:r>
    </w:p>
    <w:p>
      <w:pPr>
        <w:ind w:left="397" w:hanging="283"/>
      </w:pPr>
      <w:r>
        <w:t xml:space="preserve">• </w:t>
      </w:r>
      <w:r>
        <w:rPr>
          <w:b/>
        </w:rPr>
        <w:t>A03:2021 – Injection:</w:t>
      </w:r>
      <w:r>
        <w:t xml:space="preserve"> incluye SQLi y XSS (CWE-89, CWE-79/80, entre otros). La tabla oficial de A03:2021 consigna para el conjunto de inyecciones 94,04% de cobertura máxima de pruebas, 19,09% de incidencia máxima y 3,37% de incidencia promedio en sus datos agregados. No son porcentajes propios ni estimaciones específicas para SQLi, XSS o PYMEs peruanas. La cifra «23%» del borrador anterior no corresponde a esa tabla.</w:t>
      </w:r>
    </w:p>
    <w:p>
      <w:pPr>
        <w:ind w:left="397" w:hanging="283"/>
      </w:pPr>
      <w:r>
        <w:t xml:space="preserve">• </w:t>
      </w:r>
      <w:r>
        <w:rPr>
          <w:b/>
        </w:rPr>
        <w:t>A07:2021 – Identification and Authentication Failures:</w:t>
      </w:r>
      <w:r>
        <w:t xml:space="preserve"> categoría del Top 10 que se describe como contexto; el prototipo no prueba autenticación.</w:t>
      </w:r>
    </w:p>
    <w:p>
      <w:pPr>
        <w:ind w:left="397" w:hanging="283"/>
      </w:pPr>
      <w:r>
        <w:t xml:space="preserve">• </w:t>
      </w:r>
      <w:r>
        <w:rPr>
          <w:b/>
        </w:rPr>
        <w:t>A05:2021 – Security Misconfiguration:</w:t>
      </w:r>
      <w:r>
        <w:t xml:space="preserve"> categoría del Top 10 relacionada con parte de la configuración HTTP; no se afirma una prevalencia específica para Joomla.</w:t>
      </w:r>
    </w:p>
    <w:p>
      <w:r>
        <w:t>La selección de pruebas responde al alcance delimitado, a su observabilidad mediante HTTP y al bajo riesgo operativo. No se aplica un umbral de prevalencia porque aún no se dispone de un estudio comparable que lo respalde.</w:t>
      </w:r>
    </w:p>
    <w:p>
      <w:pPr>
        <w:pStyle w:val="Heading3"/>
      </w:pPr>
      <w:r>
        <w:t>2.2.3. Arquitectura de escáneres de vulnerabilidades</w:t>
      </w:r>
    </w:p>
    <w:p>
      <w:r>
        <w:t>El diseño modular es una propuesta propia destinada a aislar responsabilidades y facilitar pruebas de cada componente. La cifra de «reducción del 60% en falsos positivos» y su atribución a Aljebry et al. (2022) se retiraron por falta de verificación de contenido. La arquitectura implementada comprende:</w:t>
      </w:r>
    </w:p>
    <w:p>
      <w:pPr>
        <w:ind w:left="397" w:hanging="283"/>
      </w:pPr>
      <w:r>
        <w:t xml:space="preserve">• </w:t>
      </w:r>
      <w:r>
        <w:rPr>
          <w:b/>
        </w:rPr>
        <w:t>Módulo de Reconocimiento:</w:t>
      </w:r>
      <w:r>
        <w:t xml:space="preserve"> inferencia de tecnología a partir de la URL inicial; no descubre endpoints.</w:t>
      </w:r>
    </w:p>
    <w:p>
      <w:pPr>
        <w:ind w:left="397" w:hanging="283"/>
      </w:pPr>
      <w:r>
        <w:t xml:space="preserve">• </w:t>
      </w:r>
      <w:r>
        <w:rPr>
          <w:b/>
        </w:rPr>
        <w:t>Módulo de Análisis DAST:</w:t>
      </w:r>
      <w:r>
        <w:t xml:space="preserve"> pruebas dinámicas para XSS reflejado y SQLi.</w:t>
      </w:r>
    </w:p>
    <w:p>
      <w:pPr>
        <w:ind w:left="397" w:hanging="283"/>
      </w:pPr>
      <w:r>
        <w:t xml:space="preserve">• </w:t>
      </w:r>
      <w:r>
        <w:rPr>
          <w:b/>
        </w:rPr>
        <w:t>Módulo de Configuraciones:</w:t>
      </w:r>
      <w:r>
        <w:t xml:space="preserve"> verificación de headers HTTP security.</w:t>
      </w:r>
    </w:p>
    <w:p>
      <w:pPr>
        <w:ind w:left="397" w:hanging="283"/>
      </w:pPr>
      <w:r>
        <w:t xml:space="preserve">• </w:t>
      </w:r>
      <w:r>
        <w:rPr>
          <w:b/>
        </w:rPr>
        <w:t>Motor de Reportes:</w:t>
      </w:r>
      <w:r>
        <w:t xml:space="preserve"> generación de resultados en formato legible.</w:t>
      </w:r>
    </w:p>
    <w:p>
      <w:pPr>
        <w:pStyle w:val="Heading3"/>
      </w:pPr>
      <w:r>
        <w:t>2.2.4. Paradigma de desarrollo ligero</w:t>
      </w:r>
    </w:p>
    <w:p>
      <w:r>
        <w:t>La ligereza se buscó mediante:</w:t>
      </w:r>
    </w:p>
    <w:p>
      <w:pPr>
        <w:ind w:left="397" w:hanging="283"/>
      </w:pPr>
      <w:r>
        <w:t xml:space="preserve">• </w:t>
      </w:r>
      <w:r>
        <w:rPr>
          <w:b/>
        </w:rPr>
        <w:t>Algoritmos acotados:</w:t>
      </w:r>
      <w:r>
        <w:t xml:space="preserve"> comparar un número documentado de señales por respuesta y medir tiempo y memoria, sin afirmar eficiencia asintótica antes de definir el algoritmo.</w:t>
      </w:r>
    </w:p>
    <w:p>
      <w:pPr>
        <w:ind w:left="397" w:hanging="283"/>
      </w:pPr>
      <w:r>
        <w:t xml:space="preserve">• </w:t>
      </w:r>
      <w:r>
        <w:rPr>
          <w:b/>
        </w:rPr>
        <w:t>Gestión de conexiones:</w:t>
      </w:r>
      <w:r>
        <w:t xml:space="preserve"> una sesión HTTP reutilizable y un límite de 1 MB por respuesta.</w:t>
      </w:r>
    </w:p>
    <w:p>
      <w:pPr>
        <w:ind w:left="397" w:hanging="283"/>
      </w:pPr>
      <w:r>
        <w:t xml:space="preserve">• </w:t>
      </w:r>
      <w:r>
        <w:rPr>
          <w:b/>
        </w:rPr>
        <w:t>Ejecución selectiva:</w:t>
      </w:r>
      <w:r>
        <w:t xml:space="preserve"> el usuario elige módulos; el reconocimiento no activa o desactiva pruebas automáticamente.</w:t>
      </w:r>
    </w:p>
    <w:p>
      <w:r>
        <w:t>La meta de diseño es consumir menos de 500 MB de RAM. Se midió una URL por proceso en condiciones locales; la cifra antigua de 30 minutos para 500 páginas no corresponde al alcance sin rastreo y no se presenta como requisito validado.</w:t>
      </w:r>
    </w:p>
    <w:p>
      <w:pPr>
        <w:pStyle w:val="Heading2"/>
      </w:pPr>
      <w:r>
        <w:t>2.3. Elaboración de glosario de términos</w:t>
      </w:r>
    </w:p>
    <w:tbl>
      <w:tblPr>
        <w:tblW w:type="auto" w:w="0"/>
        <w:tblLayout w:type="autofit"/>
        <w:tblLook w:firstColumn="1" w:firstRow="1" w:lastColumn="0" w:lastRow="0" w:noHBand="0" w:noVBand="1" w:val="04A0"/>
      </w:tblPr>
      <w:tblGrid>
        <w:gridCol w:w="4252"/>
        <w:gridCol w:w="4252"/>
      </w:tblGrid>
      <w:tr>
        <w:trPr>
          <w:tblHeader w:val="true"/>
          <w:cantSplit/>
        </w:trPr>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Término</w:t>
            </w:r>
          </w:p>
        </w:tc>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Definición</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SQL Injection (SQLi)</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Vulnerabilidad que permite la ejecución de consultas SQL maliciosas mediante la manipulación de entradas no validadas. Clasificada como </w:t>
            </w:r>
            <w:r>
              <w:rPr>
                <w:b/>
                <w:sz w:val="16"/>
              </w:rPr>
              <w:t>A03:2021 – Injection</w:t>
            </w:r>
            <w:r>
              <w:rPr>
                <w:sz w:val="16"/>
              </w:rPr>
              <w:t xml:space="preserve"> en OWASP Top 10 2021 (confirmado en owasp.org/Top10/2021/A03_2021-Injection; corrige el error del borrador anterior que la ubicaba en A01).</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Cross-Site Scripting (XSS)</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Tipo de vulnerabilidad que permite inyectar scripts maliciosos en contenido web, ejecutándose en el contexto del usuario víctima. También categorizada dentro de </w:t>
            </w:r>
            <w:r>
              <w:rPr>
                <w:b/>
                <w:sz w:val="16"/>
              </w:rPr>
              <w:t>A03:2021 – Injection</w:t>
            </w:r>
            <w:r>
              <w:rPr>
                <w:sz w:val="16"/>
              </w:rPr>
              <w:t xml:space="preserve"> en OWASP Top 10 2021 (la edición 2021 consolidó XSS dentro de Injection; en la edición 2017 era una categoría separada).</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DAST (Dynamic Application Security Testing)</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Metodología de prueba que analiza aplicaciones en tiempo de ejecución, simulando ataques externos sin acceso al código fuente.</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Falso Positivo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Caso donde el escáner reporta una vulnerabilidad que no existe realmente. Métrica crítica que afecta la confiabilidad de la herramienta.</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Falso Negativo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Situación donde el escáner no detecta una vulnerabilidad real presente en el sistema. Indicador de efectividad del escaneo.</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Exactitud (accuracy)</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Proporción de clasificaciones correctas: (VP + VN) / (VP + VN + FP + FN). Requiere casos negativos y positivos etiquetados.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Precisión (valor predictivo positivo)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Proporción de alertas correctas: VP / (VP + FP). Si no hay alertas, debe declararse que la métrica no está definida.</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b/>
                <w:sz w:val="16"/>
              </w:rPr>
              <w:t>Recall (Sensibilidad)</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Capacidad del escáner para detectar todas las vulnerabilidades existentes. Fórmula: VP / (VP + FN)</w:t>
            </w:r>
          </w:p>
        </w:tc>
      </w:tr>
    </w:tbl>
    <w:p>
      <w:pPr>
        <w:pStyle w:val="Heading2"/>
      </w:pPr>
      <w:r>
        <w:t>2.4. Referencia de gráficos, textos, tablas y citas</w:t>
      </w:r>
    </w:p>
    <w:p>
      <w:r>
        <w:t>La tabla comparativa del borrador anterior se retiró: sus porcentajes, memoria, horas de aprendizaje y precios no tenían fuente primaria ni un protocolo común. La comparación podrá restituirse si se conservan versiones de las herramientas, configuración, casos de prueba, recursos del equipo, fecha y datos crudos. Las metas del prototipo se presentan por separado en 5.1.4 y nunca como mediciones de terceros.</w:t>
      </w:r>
    </w:p>
    <w:p>
      <w:r>
        <w:t xml:space="preserve">⚠️ </w:t>
      </w:r>
      <w:r>
        <w:rPr>
          <w:b/>
        </w:rPr>
        <w:t>Cita textual retirada:</w:t>
      </w:r>
      <w:r>
        <w:t xml:space="preserve"> el borrador anterior incluía aquí una cita textual atribuida a "Jain &amp; Gupta (2020, p. 45)". Como esa atribución era incorrecta (ver auditoría en </w:t>
      </w:r>
      <w:r>
        <w:rPr>
          <w:rFonts w:ascii="Consolas" w:hAnsi="Consolas"/>
          <w:sz w:val="18"/>
        </w:rPr>
        <w:t>notas-verificacion.md</w:t>
      </w:r>
      <w:r>
        <w:t>) y no se ha podido confirmar el texto exacto en Aljebry et al. (2022), la cita se retira en vez de reatribuirla a ciegas. La idea general — que la efectividad de un escáner en entornos de recursos limitados depende del equilibrio entre cobertura y eficiencia computacional — se mantiene como planteamiento propio del marco teórico de esta tesis, sin cita textual.</w:t>
      </w:r>
    </w:p>
    <w:p>
      <w:pPr>
        <w:pStyle w:val="Heading2"/>
      </w:pPr>
      <w:r>
        <w:t>2.5. Revisión de la consistencia lógica</w:t>
      </w:r>
    </w:p>
    <w:p>
      <w:r>
        <w:t>El marco teórico enlaza la necesidad hipotética de una revisión inicial para PYMEs peruanas con un problema técnico evaluable en laboratorio. La coherencia que se examina es entre:</w:t>
      </w:r>
    </w:p>
    <w:p>
      <w:pPr>
        <w:ind w:left="397" w:hanging="283"/>
      </w:pPr>
      <w:r>
        <w:t>• La literatura revisada y los vacíos identificados.</w:t>
      </w:r>
    </w:p>
    <w:p>
      <w:pPr>
        <w:ind w:left="397" w:hanging="283"/>
      </w:pPr>
      <w:r>
        <w:t>• Los ejes temáticos desarrollados y los objetivos específicos.</w:t>
      </w:r>
    </w:p>
    <w:p>
      <w:pPr>
        <w:ind w:left="397" w:hanging="283"/>
      </w:pPr>
      <w:r>
        <w:t>• Las referencias conceptuales y el diseño técnico planteado.</w:t>
      </w:r>
    </w:p>
    <w:p>
      <w:r>
        <w:t>El método, los requisitos y los resultados responden los objetivos técnicos dentro del laboratorio. La pertinencia para usuarios de PYMEs sigue siendo una hipótesis hasta realizar una evaluación con participantes.</w:t>
      </w:r>
    </w:p>
    <w:p>
      <w:pPr>
        <w:pStyle w:val="Heading2"/>
      </w:pPr>
      <w:r>
        <w:t>2.6. Referencias conceptuales y teóricas</w:t>
      </w:r>
    </w:p>
    <w:p>
      <w:pPr>
        <w:ind w:left="397" w:hanging="283"/>
      </w:pPr>
      <w:r>
        <w:t xml:space="preserve">• </w:t>
      </w:r>
      <w:r>
        <w:rPr>
          <w:b/>
        </w:rPr>
        <w:t>OWASP Foundation (2021):</w:t>
      </w:r>
      <w:r>
        <w:t xml:space="preserve"> proporciona el framework de clasificación de vulnerabilidades y metodologías de testing estandarizadas.</w:t>
      </w:r>
    </w:p>
    <w:p>
      <w:pPr>
        <w:ind w:left="397" w:hanging="283"/>
      </w:pPr>
      <w:r>
        <w:t xml:space="preserve">• </w:t>
      </w:r>
      <w:r>
        <w:rPr>
          <w:b/>
        </w:rPr>
        <w:t>Amankwah et al. (2020):</w:t>
      </w:r>
      <w:r>
        <w:t xml:space="preserve"> el manuscrito completo documenta una comparación de ocho escáneres con DVWA y WebGoat, usando precisión, recall y otras métricas. Su diseño muestra la necesidad de declarar aplicaciones y métricas; sus resultados no son transferibles sin ejecutar el mismo protocolo.</w:t>
      </w:r>
    </w:p>
    <w:p>
      <w:pPr>
        <w:ind w:left="397" w:hanging="283"/>
      </w:pPr>
      <w:r>
        <w:t xml:space="preserve">• </w:t>
      </w:r>
      <w:r>
        <w:rPr>
          <w:b/>
        </w:rPr>
        <w:t>Abualese y Al-Rousan (2023), Syarifudin et al. (2025) y Aljebry et al. (2022):</w:t>
      </w:r>
      <w:r>
        <w:t xml:space="preserve"> sus resúmenes editoriales permiten describir alcance y casos de estudio, pero no fundamentan algoritmos ni cifras detalladas. </w:t>
      </w:r>
      <w:r>
        <w:rPr>
          <w:b/>
        </w:rPr>
        <w:t>Prabakar et al. (2013):</w:t>
      </w:r>
      <w:r>
        <w:t xml:space="preserve"> solo se conserva su identidad bibliográfica hasta consultar el texto.</w:t>
      </w:r>
    </w:p>
    <w:p>
      <w:pPr>
        <w:ind w:left="397" w:hanging="283"/>
      </w:pPr>
      <w:r>
        <w:t xml:space="preserve">• </w:t>
      </w:r>
      <w:r>
        <w:rPr>
          <w:b/>
        </w:rPr>
        <w:t>Reconocimiento de CMS:</w:t>
      </w:r>
      <w:r>
        <w:t xml:space="preserve"> el borrador anterior lo atribuía a «Kumar (2019)», libro no verificable. Las firmas visibles de este prototipo se describen como diseño propio, sin trasladar esa atribución a Aljebry et al.</w:t>
      </w:r>
    </w:p>
    <w:p>
      <w:r>
        <w:br w:type="page"/>
      </w:r>
    </w:p>
    <w:p>
      <w:pPr>
        <w:pStyle w:val="Heading1"/>
      </w:pPr>
      <w:r>
        <w:t>Capítulo 3: Estado del arte</w:t>
      </w:r>
    </w:p>
    <w:p>
      <w:pPr>
        <w:pStyle w:val="Heading2"/>
      </w:pPr>
      <w:r>
        <w:t>3.1. Selección de metodologías, técnicas y algoritmos</w:t>
      </w:r>
    </w:p>
    <w:p>
      <w:r>
        <w:t xml:space="preserve">Para el diseño de pruebas se toma como referencia la </w:t>
      </w:r>
      <w:r>
        <w:rPr>
          <w:b/>
        </w:rPr>
        <w:t>OWASP Web Security Testing Guide v4.2 (2020)</w:t>
      </w:r>
      <w:r>
        <w:t>, cuyo contenido y versión se consultaron en el sitio oficial de OWASP. La arquitectura modular y la selección de pruebas son decisiones propias del prototipo. La atribución de una arquitectura de plugins específica a Aljebry et al. (2022) requiere lectura del texto completo antes de mantenerse como resultado de ese trabajo.</w:t>
      </w:r>
    </w:p>
    <w:p>
      <w:r>
        <w:t>Las técnicas algorítmicas implementadas son:</w:t>
      </w:r>
    </w:p>
    <w:p>
      <w:pPr>
        <w:ind w:left="397" w:hanging="283"/>
      </w:pPr>
      <w:r>
        <w:t xml:space="preserve">• </w:t>
      </w:r>
      <w:r>
        <w:rPr>
          <w:b/>
        </w:rPr>
        <w:t>Comparación diferencial de respuestas</w:t>
      </w:r>
      <w:r>
        <w:t xml:space="preserve"> para SQLi basada en mensajes de error. El metadato DOI de Prabakar et al. (2013) no prueba que utilice Aho-Corasick ni fundamenta el algoritmo propio.</w:t>
      </w:r>
    </w:p>
    <w:p>
      <w:pPr>
        <w:ind w:left="397" w:hanging="283"/>
      </w:pPr>
      <w:r>
        <w:t xml:space="preserve">• </w:t>
      </w:r>
      <w:r>
        <w:rPr>
          <w:b/>
        </w:rPr>
        <w:t>Comparación literal de entradas y salidas</w:t>
      </w:r>
      <w:r>
        <w:t xml:space="preserve"> para XSS reflejado indicativo. No se analiza el contexto de ejecución del navegador.</w:t>
      </w:r>
    </w:p>
    <w:p>
      <w:pPr>
        <w:ind w:left="397" w:hanging="283"/>
      </w:pPr>
      <w:r>
        <w:t xml:space="preserve">• </w:t>
      </w:r>
      <w:r>
        <w:rPr>
          <w:b/>
        </w:rPr>
        <w:t>Reconocimiento por señales visibles</w:t>
      </w:r>
      <w:r>
        <w:t xml:space="preserve"> en cabeceras, cookies y HTML de WordPress, Joomla y Laravel. Es una decisión de diseño propia; se retiró la atribución a la fuente no verificable «Kumar (2019)».</w:t>
      </w:r>
    </w:p>
    <w:p>
      <w:pPr>
        <w:ind w:left="397" w:hanging="283"/>
      </w:pPr>
      <w:r>
        <w:t xml:space="preserve">• </w:t>
      </w:r>
      <w:r>
        <w:rPr>
          <w:b/>
        </w:rPr>
        <w:t>Dos variantes por parámetro</w:t>
      </w:r>
      <w:r>
        <w:t xml:space="preserve"> para exigir observaciones concordantes. El efecto causal sobre los falsos positivos no se midió frente a una variante de una sola prueba.</w:t>
      </w:r>
    </w:p>
    <w:p>
      <w:pPr>
        <w:pStyle w:val="Heading2"/>
      </w:pPr>
      <w:r>
        <w:t>3.2. Descripción del estado del arte</w:t>
      </w:r>
    </w:p>
    <w:p>
      <w:r>
        <w:t>El estado del arte debe comparar herramientas con versiones, configuración y casos de prueba equivalentes. El borrador anterior atribuyó a Burp Suite Professional y Acunetix costos, precisión y memoria sin evidencia verificable; esos valores se retiraron. [PENDIENTE DE VERIFICACIÓN: fichas oficiales vigentes y, si se decide comparar rendimiento, corridas propias bajo un mismo protocolo.]</w:t>
      </w:r>
    </w:p>
    <w:p>
      <w:r>
        <w:t xml:space="preserve">OWASP ZAP y Nikto son candidatos a una comparación futura. No se infiere su consumo de RAM, facilidad de uso ni tasa de falsos positivos a partir de los metadatos de Syarifudin et al. (2025) o Amankwah et al. (2020). Las cifras del borrador anterior quedan registradas como descartadas en </w:t>
      </w:r>
      <w:r>
        <w:rPr>
          <w:rFonts w:ascii="Consolas" w:hAnsi="Consolas"/>
          <w:sz w:val="18"/>
        </w:rPr>
        <w:t>docs/notas-verificacion.md</w:t>
      </w:r>
      <w:r>
        <w:t>.</w:t>
      </w:r>
    </w:p>
    <w:p>
      <w:r>
        <w:t>La activación selectiva de módulos es una decisión de diseño propia. Su efecto en tiempo y memoria aún no se ha medido comparativamente. El resumen editorial de Aljebry et al. (2022) compara ZAP y Acunetix en un sitio de prueba; no describe la arquitectura modular ni el perfilado de CMS que aquí se implementaron.</w:t>
      </w:r>
    </w:p>
    <w:p>
      <w:pPr>
        <w:pStyle w:val="Heading2"/>
      </w:pPr>
      <w:r>
        <w:t>3.3. Benchmarking de modelos, métodos y metodologías</w:t>
      </w:r>
    </w:p>
    <w:p>
      <w:r>
        <w:t>Se definieron dimensiones para una comparación futura bajo condiciones equivalentes. No se presentan como resultados de un benchmarking externo:</w:t>
      </w:r>
    </w:p>
    <w:p>
      <w:r>
        <w:rPr>
          <w:b/>
        </w:rPr>
        <w:t>Tabla 3.1: Protocolo pendiente de comparación entre herramientas</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Dimensión</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Dato necesario</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Regla para comparar</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Detección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Salidas por caso positivo y negativo con verdad de referencia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Calcular VP, FP, VN y FN por tipo de prueba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Recursos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Pico de memoria del proceso y duración por corrida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Misma máquina, versión, objetivo y configuración declarados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Cobertura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Pruebas efectivamente ejecutadas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No convertir número de categorías OWASP en porcentaje de cobertura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Costo y uso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Precio oficial vigente e instrumento de usabilidad aplicado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Registrar fecha, licencia y participantes; no estimar horas sin observación</w:t>
            </w:r>
          </w:p>
        </w:tc>
      </w:tr>
    </w:tbl>
    <w:p>
      <w:r>
        <w:t>No existe todavía un benchmarking cuantitativo reproducible de ZAP, Burp, Nikto o WPScan en este proyecto. La tabla anterior del borrador se retiró porque mezclaba cifras sin fuente y metas de la propuesta con supuestos resultados medidos.</w:t>
      </w:r>
    </w:p>
    <w:p>
      <w:r>
        <w:t>El prototipo combina reconocimiento pasivo con pruebas activas selectivas. El capítulo 6 mide su ejecución completa en un laboratorio, sin compararla con otras herramientas ni con variantes de arquitectura. La cifra antes atribuida a CERT-Perú (2023) no se encontró y no se usa para justificar la selección.</w:t>
      </w:r>
    </w:p>
    <w:p>
      <w:pPr>
        <w:pStyle w:val="Heading2"/>
      </w:pPr>
      <w:r>
        <w:t>3.4. Aportes seleccionados de cada investigación</w:t>
      </w:r>
    </w:p>
    <w:p>
      <w:pPr>
        <w:ind w:left="397" w:hanging="283"/>
      </w:pPr>
      <w:r>
        <w:t xml:space="preserve">• </w:t>
      </w:r>
      <w:r>
        <w:rPr>
          <w:b/>
        </w:rPr>
        <w:t>Amankwah et al. (2020):</w:t>
      </w:r>
      <w:r>
        <w:t xml:space="preserve"> el manuscrito completo compara ocho escáneres comerciales y abiertos en DVWA y WebGoat mediante precisión, recall, índice de Youden y criterios OWASP. Muestra que el rendimiento depende de la herramienta, el tipo de vulnerabilidad y la aplicación del banco; sus cifras no describen PYMEs peruanas ni este prototipo.</w:t>
      </w:r>
    </w:p>
    <w:p>
      <w:pPr>
        <w:ind w:left="397" w:hanging="283"/>
      </w:pPr>
      <w:r>
        <w:t xml:space="preserve">• </w:t>
      </w:r>
      <w:r>
        <w:rPr>
          <w:b/>
        </w:rPr>
        <w:t>Abualese y Al-Rousan (2023):</w:t>
      </w:r>
      <w:r>
        <w:t xml:space="preserve"> el resumen editorial describe seis escáneres y dos aplicaciones vulnerables, con exactitud, precisión, recall y cobertura de tipos como dimensiones. Sin texto completo no se toman sus resultados numéricos.</w:t>
      </w:r>
    </w:p>
    <w:p>
      <w:pPr>
        <w:ind w:left="397" w:hanging="283"/>
      </w:pPr>
      <w:r>
        <w:t xml:space="preserve">• </w:t>
      </w:r>
      <w:r>
        <w:rPr>
          <w:b/>
        </w:rPr>
        <w:t>Syarifudin et al. (2025):</w:t>
      </w:r>
      <w:r>
        <w:t xml:space="preserve"> el resumen editorial presenta una evaluación de una institución XYZ según OWASP Top 10 2021 y comunica hallazgos de configuración, componentes obsoletos y autenticación. No es una muestra de PYMEs ni una comparación de escáneres.</w:t>
      </w:r>
    </w:p>
    <w:p>
      <w:pPr>
        <w:ind w:left="397" w:hanging="283"/>
      </w:pPr>
      <w:r>
        <w:t xml:space="preserve">• </w:t>
      </w:r>
      <w:r>
        <w:rPr>
          <w:b/>
        </w:rPr>
        <w:t>Aljebry et al. (2022):</w:t>
      </w:r>
      <w:r>
        <w:t xml:space="preserve"> el resumen editorial compara ZAP y Acunetix en un sitio de prueba. No sustenta la cifra antigua de reducción de falsos positivos ni una arquitectura de plugins.</w:t>
      </w:r>
    </w:p>
    <w:p>
      <w:pPr>
        <w:ind w:left="397" w:hanging="283"/>
      </w:pPr>
      <w:r>
        <w:t xml:space="preserve">• </w:t>
      </w:r>
      <w:r>
        <w:rPr>
          <w:b/>
        </w:rPr>
        <w:t>Prabakar et al. (2013):</w:t>
      </w:r>
      <w:r>
        <w:t xml:space="preserve"> el título y metadatos identifican un trabajo de prevención de SQLi por comparación de patrones; la técnica concreta y sus resultados quedan pendientes de lectura del texto completo.</w:t>
      </w:r>
    </w:p>
    <w:p>
      <w:pPr>
        <w:ind w:left="397" w:hanging="283"/>
      </w:pPr>
      <w:r>
        <w:t xml:space="preserve">• </w:t>
      </w:r>
      <w:r>
        <w:rPr>
          <w:b/>
        </w:rPr>
        <w:t>De OWASP Foundation (2021):</w:t>
      </w:r>
      <w:r>
        <w:t xml:space="preserve"> la clasificación A03:2021 Injection, que incluye CWE-79 y CWE-89. La WSTG v4.2 sirve como referencia de pruebas; los algoritmos y límites concretos son propios.</w:t>
      </w:r>
    </w:p>
    <w:p>
      <w:pPr>
        <w:pStyle w:val="Heading2"/>
      </w:pPr>
      <w:r>
        <w:t>3.5. Metodología de desarrollo de la solución</w:t>
      </w:r>
    </w:p>
    <w:p>
      <w:r>
        <w:t xml:space="preserve">El desarrollo se organizó en incrementos: contratos y reconocimiento, módulos de seguridad, integración CLI y evaluación Docker. Cada incremento quedó asociado a código, pruebas y una sección del manuscrito. </w:t>
      </w:r>
      <w:r>
        <w:rPr>
          <w:rFonts w:ascii="Consolas" w:hAnsi="Consolas"/>
          <w:sz w:val="18"/>
        </w:rPr>
        <w:t>docs/sprints.md</w:t>
      </w:r>
      <w:r>
        <w:t xml:space="preserve"> conserva el plan y </w:t>
      </w:r>
      <w:r>
        <w:rPr>
          <w:rFonts w:ascii="Consolas" w:hAnsi="Consolas"/>
          <w:sz w:val="18"/>
        </w:rPr>
        <w:t>docs/notas-verificacion.md</w:t>
      </w:r>
      <w:r>
        <w:t xml:space="preserve"> los cambios de evidencia. Como marco de organización académica, Peffers et al. (2007, pp. 52–56) describen seis actividades de Design Science Research: identificar el problema, definir objetivos, diseñar y desarrollar, demostrar, evaluar y comunicar. Aquí el prototipo constituye el artefacto y las corridas locales son demostración y evaluación técnica; no se confunden con una demostración de valor para PYMEs reales.</w:t>
      </w:r>
    </w:p>
    <w:p>
      <w:r>
        <w:t>La evaluación técnica predefinió nueve casos, cinco repeticiones por caso y voto mayoritario. El manifiesto fija etiquetas y configuración antes de agregar resultados. Esta estrategia demuestra operación en escenarios controlados; la evaluación centrada en usuarios y la adopción por PYMEs requieren otro protocolo y participantes.</w:t>
      </w:r>
    </w:p>
    <w:p>
      <w:pPr>
        <w:pStyle w:val="Heading2"/>
      </w:pPr>
      <w:r>
        <w:t>3.6. Herramientas para el desarrollo de la solución</w:t>
      </w:r>
    </w:p>
    <w:p>
      <w:r>
        <w:t xml:space="preserve">La corrida documentada usó Python 3.12.0, </w:t>
      </w:r>
      <w:r>
        <w:rPr>
          <w:rFonts w:ascii="Consolas" w:hAnsi="Consolas"/>
          <w:sz w:val="18"/>
        </w:rPr>
        <w:t>requests</w:t>
      </w:r>
      <w:r>
        <w:t xml:space="preserve"> 2.34.2, </w:t>
      </w:r>
      <w:r>
        <w:rPr>
          <w:rFonts w:ascii="Consolas" w:hAnsi="Consolas"/>
          <w:sz w:val="18"/>
        </w:rPr>
        <w:t>argparse</w:t>
      </w:r>
      <w:r>
        <w:t xml:space="preserve"> y bibliotecas estándar para URL, expresiones regulares y JSON. Poetry describe las dependencias del proyecto; la suite se ejecutó con Pytest y cobertura. Docker Compose levantó WordPress 6.4, Joomla 4, Laravel 12 y MariaDB 10.11. Los endpoints de seguridad son PHP de laboratorio montados dentro de los contenedores, no vulnerabilidades atribuidas al código original de cada CMS. Las versiones y los identificadores de imagen constan en el anexo A y el manifiesto. Aunque </w:t>
      </w:r>
      <w:r>
        <w:rPr>
          <w:rFonts w:ascii="Consolas" w:hAnsi="Consolas"/>
          <w:sz w:val="18"/>
        </w:rPr>
        <w:t>aiohttp</w:t>
      </w:r>
      <w:r>
        <w:t>, Beautiful Soup, lxml y colorama figuran entre las dependencias, la ruta de escaneo evaluada no los usa. Tampoco se generó documentación Sphinx o MkDocs.</w:t>
      </w:r>
    </w:p>
    <w:p>
      <w:pPr>
        <w:pStyle w:val="Heading2"/>
      </w:pPr>
      <w:r>
        <w:t>3.7. Análisis del estado del arte</w:t>
      </w:r>
    </w:p>
    <w:p>
      <w:r>
        <w:t>La revisión disponible no permite afirmar una brecha cuantificada frente a herramientas existentes ni necesidades medidas de PYMEs peruanas. El aporte verificable es un alcance explícito y un conjunto local reproducible: reconocimiento y perfilado, XSS reflejado indicativo, SQLi no destructiva basada en errores, cabeceras y reportes. La meta de menos de 500 MB se contrastó en procesos de una sola URL local, no en hosting compartido ni sobre 500 páginas. Los umbrales antiguos de precisión, recall y duración eran metas de diseño; los resultados observados, con sus límites, aparecen solo en el capítulo 6.</w:t>
      </w:r>
    </w:p>
    <w:p>
      <w:r>
        <w:br w:type="page"/>
      </w:r>
    </w:p>
    <w:p>
      <w:pPr>
        <w:pStyle w:val="Heading1"/>
      </w:pPr>
      <w:r>
        <w:t>Capítulo 4: Aporte teórico</w:t>
      </w:r>
    </w:p>
    <w:p>
      <w:r>
        <w:rPr>
          <w:i/>
        </w:rPr>
        <w:t>Este capítulo describe la arquitectura implementada; el capítulo 5 detalla código y pruebas, y el capítulo 6 separa resultados observados de extrapolaciones pendientes.</w:t>
      </w:r>
    </w:p>
    <w:p>
      <w:pPr>
        <w:pStyle w:val="Heading2"/>
      </w:pPr>
      <w:r>
        <w:t>4.1. Definición de la solución, de la arquitectura, de la metodología</w:t>
      </w:r>
    </w:p>
    <w:p>
      <w:r>
        <w:t>La solución implementada es un escáner web organizado en cinco etapas seleccionables desde el CLI. Esta organización es una decisión de diseño propia; no se atribuye a los artículos cuyos textos completos no se han examinado:</w:t>
      </w:r>
    </w:p>
    <w:p>
      <w:pPr>
        <w:ind w:left="397" w:hanging="283"/>
      </w:pPr>
      <w:r>
        <w:t xml:space="preserve">1. </w:t>
      </w:r>
      <w:r>
        <w:rPr>
          <w:b/>
        </w:rPr>
        <w:t>Reconocimiento (`recon`):</w:t>
      </w:r>
      <w:r>
        <w:t xml:space="preserve"> infiere la tecnología base a partir de una respuesta HTTP. No descubre endpoints ni la superficie completa de ataque.</w:t>
      </w:r>
    </w:p>
    <w:p>
      <w:pPr>
        <w:ind w:left="397" w:hanging="283"/>
      </w:pPr>
      <w:r>
        <w:t xml:space="preserve">2. </w:t>
      </w:r>
      <w:r>
        <w:rPr>
          <w:b/>
        </w:rPr>
        <w:t>Perfilado de CMS (`cms`):</w:t>
      </w:r>
      <w:r>
        <w:t xml:space="preserve"> extrae plugins y tema visibles de WordPress, componentes y plantillas visibles de Joomla, y consigna cuando Laravel no expone versión.</w:t>
      </w:r>
    </w:p>
    <w:p>
      <w:pPr>
        <w:ind w:left="397" w:hanging="283"/>
      </w:pPr>
      <w:r>
        <w:t xml:space="preserve">3. </w:t>
      </w:r>
      <w:r>
        <w:rPr>
          <w:b/>
        </w:rPr>
        <w:t>Módulos DAST selectivos (`xss`, `sqli`):</w:t>
      </w:r>
      <w:r>
        <w:t xml:space="preserve"> ejecutan pruebas indicativas de XSS reflejado y SQLi basada en errores con GET; sus algoritmos se explican en 5.2.2.</w:t>
      </w:r>
    </w:p>
    <w:p>
      <w:pPr>
        <w:ind w:left="397" w:hanging="283"/>
      </w:pPr>
      <w:r>
        <w:t xml:space="preserve">4. </w:t>
      </w:r>
      <w:r>
        <w:rPr>
          <w:b/>
        </w:rPr>
        <w:t>Verificación de configuración (`headers`):</w:t>
      </w:r>
      <w:r>
        <w:t xml:space="preserve"> revisa cabeceras de seguridad HTTP (CSP, HSTS, X-Frame-Options, etc.).</w:t>
      </w:r>
    </w:p>
    <w:p>
      <w:pPr>
        <w:ind w:left="397" w:hanging="283"/>
      </w:pPr>
      <w:r>
        <w:t xml:space="preserve">5. </w:t>
      </w:r>
      <w:r>
        <w:rPr>
          <w:b/>
        </w:rPr>
        <w:t>Motor de reportes:</w:t>
      </w:r>
      <w:r>
        <w:t xml:space="preserve"> consolida hallazgos en texto o JSON. La comprensión por administradores todavía no se ha evaluado.</w:t>
      </w:r>
    </w:p>
    <w:p>
      <w:r>
        <w:t>Los módulos DAST contrastan la respuesta base con dos variantes de cada parámetro antes de reportar. El laboratorio confirmó su operación en los casos construidos, pero no comparó una versión de una sola fase; por tanto, no se afirma que las dos variantes reduzcan falsos positivos.</w:t>
      </w:r>
    </w:p>
    <w:p>
      <w:r>
        <w:t xml:space="preserve">El plan operativo está en </w:t>
      </w:r>
      <w:r>
        <w:rPr>
          <w:rFonts w:ascii="Consolas" w:hAnsi="Consolas"/>
          <w:sz w:val="18"/>
        </w:rPr>
        <w:t>docs/sprints.md</w:t>
      </w:r>
      <w:r>
        <w:t>. La implementación y la evaluación se documentan con pruebas, manifiesto y datos crudos. La secuencia académica se corresponde con las seis actividades de Peffers et al. (2007), dentro del alcance de laboratorio descrito en 3.5.</w:t>
      </w:r>
    </w:p>
    <w:p>
      <w:pPr>
        <w:pStyle w:val="Heading2"/>
      </w:pPr>
      <w:r>
        <w:t>4.2. Fundamentación de la solución, de la arquitectura, de la metodología</w:t>
      </w:r>
    </w:p>
    <w:p>
      <w:r>
        <w:t>Cada decisión de diseño de 4.1 se justifica por un requisito o una hipótesis evaluable. Las referencias a trabajos externos se añadirán cuando se haya leído el contenido que respalde la afirmación:</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Decisión de diseño</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Fundamento</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Referencia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Módulos activables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Ejecutar solo pruebas elegidas y limitar el trabajo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RF-07; selección verificada en CLI; ahorro relativo sin medir</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Comparación de respuestas para SQLi</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Buscar señales sin alterar datos del objetivo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RF-03 y RNF-04; positivo y negativo Docker evaluados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Dos variantes de prueba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Requerir observaciones concordantes para reportar</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RF-05; funcionamiento observado; efecto causal sobre FP sin medir</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Ejecución selectiva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Ofrecer control de alcance</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RNF-01 y RNF-02; costo relativo entre subconjuntos sin medir</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Pruebas del alcance definido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Cubrir XSS reflejado, SQLi, reconocimiento, CMS y cabeceras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Objetivos 1 y 3; 45 procesos completos registrados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Reportes comprensibles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Comunicar evidencia y mitigación a un administrador</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 5; prueba de comprensión pendiente</w:t>
            </w:r>
          </w:p>
        </w:tc>
      </w:tr>
    </w:tbl>
    <w:p>
      <w:r>
        <w:t>La tabla enlaza cada componente con un requisito y la evidencia correspondiente. Las barreras económicas y de comprensión del usuario todavía no tienen medición directa.</w:t>
      </w:r>
    </w:p>
    <w:p>
      <w:pPr>
        <w:pStyle w:val="Heading2"/>
      </w:pPr>
      <w:r>
        <w:t>4.3. Definición de la arquitectura de datos, sistemas y tecnológica a usarse</w:t>
      </w:r>
    </w:p>
    <w:p>
      <w:r>
        <w:rPr>
          <w:b/>
        </w:rPr>
        <w:t>Figura 4.1. Flujo de componentes del escáner implementado.</w:t>
      </w:r>
    </w:p>
    <w:p>
      <w:pPr>
        <w:spacing w:line="240" w:lineRule="auto" w:after="0"/>
      </w:pPr>
      <w:r>
        <w:rPr>
          <w:rFonts w:ascii="Consolas" w:hAnsi="Consolas"/>
          <w:sz w:val="16"/>
        </w:rPr>
        <w:t>cli.py → scan.ejecutar → core/http_client.obtener (GET base, sin redirecciones)</w:t>
      </w:r>
    </w:p>
    <w:p>
      <w:pPr>
        <w:spacing w:line="240" w:lineRule="auto" w:after="0"/>
      </w:pPr>
      <w:r>
        <w:rPr>
          <w:rFonts w:ascii="Consolas" w:hAnsi="Consolas"/>
          <w:sz w:val="16"/>
        </w:rPr>
        <w:t xml:space="preserve">                           ├─ recon.analizar_respuesta → cms.perfilar</w:t>
      </w:r>
    </w:p>
    <w:p>
      <w:pPr>
        <w:spacing w:line="240" w:lineRule="auto" w:after="0"/>
      </w:pPr>
      <w:r>
        <w:rPr>
          <w:rFonts w:ascii="Consolas" w:hAnsi="Consolas"/>
          <w:sz w:val="16"/>
        </w:rPr>
        <w:t xml:space="preserve">                           ├─ headers.analizar</w:t>
      </w:r>
    </w:p>
    <w:p>
      <w:pPr>
        <w:spacing w:line="240" w:lineRule="auto" w:after="0"/>
      </w:pPr>
      <w:r>
        <w:rPr>
          <w:rFonts w:ascii="Consolas" w:hAnsi="Consolas"/>
          <w:sz w:val="16"/>
        </w:rPr>
        <w:t xml:space="preserve">                           ├─ xss.escanear → dos reflejos diferenciales por parámetro GET</w:t>
      </w:r>
    </w:p>
    <w:p>
      <w:pPr>
        <w:spacing w:line="240" w:lineRule="auto" w:after="0"/>
      </w:pPr>
      <w:r>
        <w:rPr>
          <w:rFonts w:ascii="Consolas" w:hAnsi="Consolas"/>
          <w:sz w:val="16"/>
        </w:rPr>
        <w:t xml:space="preserve">                           └─ sqli.escanear → dos errores diferenciales por parámetro GET</w:t>
      </w:r>
    </w:p>
    <w:p>
      <w:pPr>
        <w:spacing w:line="240" w:lineRule="auto" w:after="0"/>
      </w:pPr>
      <w:r>
        <w:rPr>
          <w:rFonts w:ascii="Consolas" w:hAnsi="Consolas"/>
          <w:sz w:val="16"/>
        </w:rPr>
        <w:t xml:space="preserve">                         → reporting.render → texto o JSON</w:t>
      </w:r>
    </w:p>
    <w:p>
      <w:r>
        <w:t xml:space="preserve">La confirmación secundaria está implementada dentro de </w:t>
      </w:r>
      <w:r>
        <w:rPr>
          <w:rFonts w:ascii="Consolas" w:hAnsi="Consolas"/>
          <w:sz w:val="18"/>
        </w:rPr>
        <w:t>xss</w:t>
      </w:r>
      <w:r>
        <w:t xml:space="preserve"> y </w:t>
      </w:r>
      <w:r>
        <w:rPr>
          <w:rFonts w:ascii="Consolas" w:hAnsi="Consolas"/>
          <w:sz w:val="18"/>
        </w:rPr>
        <w:t>sqli</w:t>
      </w:r>
      <w:r>
        <w:t xml:space="preserve">; aún no hay un </w:t>
      </w:r>
      <w:r>
        <w:rPr>
          <w:rFonts w:ascii="Consolas" w:hAnsi="Consolas"/>
          <w:sz w:val="18"/>
        </w:rPr>
        <w:t>core/validation.py</w:t>
      </w:r>
      <w:r>
        <w:t xml:space="preserve"> compartido. El trabajo futuro debe decidir si extraerla mejora realmente mantenibilidad sin mezclar reglas de confirmación diferentes.</w:t>
      </w:r>
    </w:p>
    <w:p>
      <w:r>
        <w:rPr>
          <w:b/>
        </w:rPr>
        <w:t>Arquitectura de datos implementada:</w:t>
      </w:r>
      <w:r>
        <w:t xml:space="preserve"> </w:t>
      </w:r>
      <w:r>
        <w:rPr>
          <w:rFonts w:ascii="Consolas" w:hAnsi="Consolas"/>
          <w:sz w:val="18"/>
        </w:rPr>
        <w:t>HallazgoRecon</w:t>
      </w:r>
      <w:r>
        <w:t xml:space="preserve"> contiene tecnología, versión, confianza, evidencia, método y detalles. Los módulos de seguridad producen </w:t>
      </w:r>
      <w:r>
        <w:rPr>
          <w:rFonts w:ascii="Consolas" w:hAnsi="Consolas"/>
          <w:sz w:val="18"/>
        </w:rPr>
        <w:t>HallazgoSeguridad</w:t>
      </w:r>
      <w:r>
        <w:t xml:space="preserve">; </w:t>
      </w:r>
      <w:r>
        <w:rPr>
          <w:rFonts w:ascii="Consolas" w:hAnsi="Consolas"/>
          <w:sz w:val="18"/>
        </w:rPr>
        <w:t>ResultadoEscaneo</w:t>
      </w:r>
      <w:r>
        <w:t xml:space="preserve"> reúne estos objetos con URL, estado HTTP, duración, módulos y cantidad de peticiones. Los campos de cada hallazgo de seguridad son:</w:t>
      </w:r>
    </w:p>
    <w:tbl>
      <w:tblPr>
        <w:tblW w:type="auto" w:w="0"/>
        <w:tblLayout w:type="autofit"/>
        <w:tblLook w:firstColumn="1" w:firstRow="1" w:lastColumn="0" w:lastRow="0" w:noHBand="0" w:noVBand="1" w:val="04A0"/>
      </w:tblPr>
      <w:tblGrid>
        <w:gridCol w:w="4252"/>
        <w:gridCol w:w="4252"/>
      </w:tblGrid>
      <w:tr>
        <w:trPr>
          <w:tblHeader w:val="true"/>
          <w:cantSplit/>
        </w:trPr>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Campo</w:t>
            </w:r>
          </w:p>
        </w:tc>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Descripción</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codigo</w:t>
            </w:r>
            <w:r>
              <w:rPr>
                <w:sz w:val="16"/>
              </w:rPr>
              <w:t xml:space="preserve">, </w:t>
            </w:r>
            <w:r>
              <w:rPr>
                <w:rFonts w:ascii="Consolas" w:hAnsi="Consolas"/>
                <w:sz w:val="16"/>
              </w:rPr>
              <w:t>titulo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Identificador estable y nombre legible de la observación</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modulo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Módulo de seguridad que lo generó (</w:t>
            </w:r>
            <w:r>
              <w:rPr>
                <w:rFonts w:ascii="Consolas" w:hAnsi="Consolas"/>
                <w:sz w:val="16"/>
              </w:rPr>
              <w:t>xss</w:t>
            </w:r>
            <w:r>
              <w:rPr>
                <w:sz w:val="16"/>
              </w:rPr>
              <w:t xml:space="preserve">, </w:t>
            </w:r>
            <w:r>
              <w:rPr>
                <w:rFonts w:ascii="Consolas" w:hAnsi="Consolas"/>
                <w:sz w:val="16"/>
              </w:rPr>
              <w:t>sqli</w:t>
            </w:r>
            <w:r>
              <w:rPr>
                <w:sz w:val="16"/>
              </w:rPr>
              <w:t xml:space="preserve"> o </w:t>
            </w:r>
            <w:r>
              <w:rPr>
                <w:rFonts w:ascii="Consolas" w:hAnsi="Consolas"/>
                <w:sz w:val="16"/>
              </w:rPr>
              <w:t>headers</w:t>
            </w:r>
            <w:r>
              <w:rPr>
                <w:sz w:val="16"/>
              </w:rPr>
              <w:t>)</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severidad</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Clasificación provisional: media para señales DAST y baja para cabeceras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evidencia</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Resumen de las observaciones diferenciales o de la cabecera ausente; el prototipo aún no guarda request/response crudos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confianza</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indicativa</w:t>
            </w:r>
            <w:r>
              <w:rPr>
                <w:sz w:val="16"/>
              </w:rPr>
              <w:t xml:space="preserve"> para DAST o </w:t>
            </w:r>
            <w:r>
              <w:rPr>
                <w:rFonts w:ascii="Consolas" w:hAnsi="Consolas"/>
                <w:sz w:val="16"/>
              </w:rPr>
              <w:t>observada</w:t>
            </w:r>
            <w:r>
              <w:rPr>
                <w:sz w:val="16"/>
              </w:rPr>
              <w:t xml:space="preserve"> para cabeceras; no implica explotación confirmada</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recomendacion</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Explicación en lenguaje simple + paso de mitigación (objetivo específico 5)</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url</w:t>
            </w:r>
            <w:r>
              <w:rPr>
                <w:sz w:val="16"/>
              </w:rPr>
              <w:t xml:space="preserve">, </w:t>
            </w:r>
            <w:r>
              <w:rPr>
                <w:rFonts w:ascii="Consolas" w:hAnsi="Consolas"/>
                <w:sz w:val="16"/>
              </w:rPr>
              <w:t>parametro</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 analizado y parámetro GET cuando aplica</w:t>
            </w:r>
          </w:p>
        </w:tc>
      </w:tr>
    </w:tbl>
    <w:p>
      <w:r>
        <w:rPr>
          <w:b/>
        </w:rPr>
        <w:t>Arquitectura tecnológica observada:</w:t>
      </w:r>
      <w:r>
        <w:t xml:space="preserve"> Python 3.12 en el entorno local; </w:t>
      </w:r>
      <w:r>
        <w:rPr>
          <w:rFonts w:ascii="Consolas" w:hAnsi="Consolas"/>
          <w:sz w:val="18"/>
        </w:rPr>
        <w:t>requests</w:t>
      </w:r>
      <w:r>
        <w:t xml:space="preserve"> para HTTP, </w:t>
      </w:r>
      <w:r>
        <w:rPr>
          <w:rFonts w:ascii="Consolas" w:hAnsi="Consolas"/>
          <w:sz w:val="18"/>
        </w:rPr>
        <w:t>argparse</w:t>
      </w:r>
      <w:r>
        <w:t xml:space="preserve"> para CLI y biblioteca estándar para URL, patrones y JSON. </w:t>
      </w:r>
      <w:r>
        <w:rPr>
          <w:rFonts w:ascii="Consolas" w:hAnsi="Consolas"/>
          <w:sz w:val="18"/>
        </w:rPr>
        <w:t>aiohttp</w:t>
      </w:r>
      <w:r>
        <w:t>, Beautiful Soup, lxml y colorama están declaradas como dependencias, pero esta ruta de escaneo no las usa. Docker Compose ejecutó WordPress, Joomla, Laravel y MariaDB para la evaluación local. No hay documentación Sphinx/MkDocs generada.</w:t>
      </w:r>
    </w:p>
    <w:p>
      <w:r>
        <w:rPr>
          <w:i/>
        </w:rPr>
        <w:t>Nota de entorno:</w:t>
      </w:r>
      <w:r>
        <w:t xml:space="preserve"> la suite local se ejecutó con Python 3.12. La compatibilidad en otras versiones y el despliegue en hosting compartido necesitan una prueba de instalación específica.</w:t>
      </w:r>
    </w:p>
    <w:p>
      <w:pPr>
        <w:pStyle w:val="Heading2"/>
      </w:pPr>
      <w:r>
        <w:t>4.4. Mapeo objetivo específico → componente de arquitectura → capítulo</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Objetivo específico (1.4.2)</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Componente de arquitectura (4.1/4.3)</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Capítulo que lo sustenta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1. Seleccionar y justificar pruebas por alcance, observabilidad y riesgo operativo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Selección en 2.2.2 y protocolo en 5.2.1</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Caps. 2, 3 y 5; costo de ejecución local en cap. 6</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2. Diseñar arquitectura modular, CLI y salidas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Pipeline de cinco etapas y reportes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Caps. 4 y 5; funcionamiento en cap. 6</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3. Implementar XSS, SQLi, reconocimiento, cabeceras y CMS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modules/{recon,cms,xss,sqli,headers}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Cap. 5; pruebas en </w:t>
            </w:r>
            <w:r>
              <w:rPr>
                <w:rFonts w:ascii="Consolas" w:hAnsi="Consolas"/>
                <w:sz w:val="16"/>
              </w:rPr>
              <w:t>tests/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4. Evaluar en entornos locales con métricas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Tres entornos Docker e instrumentación de tiempo y memoria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Caps. 5 y 6; datos en anexos</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5. Documentar uso y reportar evidencia y recomendaciones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README.md</w:t>
            </w:r>
            <w:r>
              <w:rPr>
                <w:sz w:val="16"/>
              </w:rPr>
              <w:t xml:space="preserve"> y motor de reportes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Cap. 5 y anexo A; comprensión humana pendiente</w:t>
            </w:r>
          </w:p>
        </w:tc>
      </w:tr>
    </w:tbl>
    <w:p>
      <w:r>
        <w:br w:type="page"/>
      </w:r>
    </w:p>
    <w:p>
      <w:pPr>
        <w:pStyle w:val="Heading1"/>
      </w:pPr>
      <w:r>
        <w:t>Capítulo 5: Aporte práctico</w:t>
      </w:r>
    </w:p>
    <w:p>
      <w:r>
        <w:rPr>
          <w:i/>
        </w:rPr>
        <w:t>Estado observado: el pipeline del alcance aprobado está implementado y se evaluó en tres entornos Docker locales. La validación externa y la comprensión de reportes por usuarios siguen pendientes.</w:t>
      </w:r>
    </w:p>
    <w:p>
      <w:pPr>
        <w:pStyle w:val="Heading2"/>
      </w:pPr>
      <w:r>
        <w:t>5.1. Diseño de la solución</w:t>
      </w:r>
    </w:p>
    <w:p>
      <w:pPr>
        <w:pStyle w:val="Heading2"/>
      </w:pPr>
      <w:r>
        <w:t>5.1.1. Desarrollo de diagramas de casos de uso</w:t>
      </w:r>
    </w:p>
    <w:p>
      <w:r>
        <w:rPr>
          <w:b/>
        </w:rPr>
        <w:t>Caso de uso 1 — Ejecutar un escaneo:</w:t>
      </w:r>
    </w:p>
    <w:p>
      <w:pPr>
        <w:ind w:left="397" w:hanging="283"/>
      </w:pPr>
      <w:r>
        <w:t xml:space="preserve">• </w:t>
      </w:r>
      <w:r>
        <w:rPr>
          <w:b/>
        </w:rPr>
        <w:t>Actor:</w:t>
      </w:r>
      <w:r>
        <w:t xml:space="preserve"> administrador de PYME (sin perfil técnico especializado).</w:t>
      </w:r>
    </w:p>
    <w:p>
      <w:pPr>
        <w:ind w:left="397" w:hanging="283"/>
      </w:pPr>
      <w:r>
        <w:t xml:space="preserve">• </w:t>
      </w:r>
      <w:r>
        <w:rPr>
          <w:b/>
        </w:rPr>
        <w:t>Flujo principal:</w:t>
      </w:r>
      <w:r>
        <w:t xml:space="preserve"> el administrador ejecuta el CLI con la URL de su sitio (</w:t>
      </w:r>
      <w:r>
        <w:rPr>
          <w:rFonts w:ascii="Consolas" w:hAnsi="Consolas"/>
          <w:sz w:val="18"/>
        </w:rPr>
        <w:t>scanner https://mi-sitio.pe</w:t>
      </w:r>
      <w:r>
        <w:t>) → el sistema corre el pipeline de 5 etapas (4.1) → el sistema genera un reporte en lenguaje simple.</w:t>
      </w:r>
    </w:p>
    <w:p>
      <w:pPr>
        <w:ind w:left="397" w:hanging="283"/>
      </w:pPr>
      <w:r>
        <w:t xml:space="preserve">• </w:t>
      </w:r>
      <w:r>
        <w:rPr>
          <w:b/>
        </w:rPr>
        <w:t>Precondición:</w:t>
      </w:r>
      <w:r>
        <w:t xml:space="preserve"> el administrador tiene Python/el binario del escáner instalado y el sitio es accesible desde su red.</w:t>
      </w:r>
    </w:p>
    <w:p>
      <w:pPr>
        <w:ind w:left="397" w:hanging="283"/>
      </w:pPr>
      <w:r>
        <w:t xml:space="preserve">• </w:t>
      </w:r>
      <w:r>
        <w:rPr>
          <w:b/>
        </w:rPr>
        <w:t>Postcondición:</w:t>
      </w:r>
      <w:r>
        <w:t xml:space="preserve"> existe un reporte con hallazgos (o "sin hallazgos"), cada uno con severidad, evidencia y recomendación.</w:t>
      </w:r>
    </w:p>
    <w:p>
      <w:r>
        <w:rPr>
          <w:b/>
        </w:rPr>
        <w:t>Caso de uso 2 — Revisar y actuar sobre el reporte:</w:t>
      </w:r>
    </w:p>
    <w:p>
      <w:pPr>
        <w:ind w:left="397" w:hanging="283"/>
      </w:pPr>
      <w:r>
        <w:t xml:space="preserve">• </w:t>
      </w:r>
      <w:r>
        <w:rPr>
          <w:b/>
        </w:rPr>
        <w:t>Actor:</w:t>
      </w:r>
      <w:r>
        <w:t xml:space="preserve"> administrador de PYME.</w:t>
      </w:r>
    </w:p>
    <w:p>
      <w:pPr>
        <w:ind w:left="397" w:hanging="283"/>
      </w:pPr>
      <w:r>
        <w:t xml:space="preserve">• </w:t>
      </w:r>
      <w:r>
        <w:rPr>
          <w:b/>
        </w:rPr>
        <w:t>Flujo principal:</w:t>
      </w:r>
      <w:r>
        <w:t xml:space="preserve"> el administrador abre el reporte generado → lee la explicación en lenguaje simple de cada hallazgo → sigue el paso de mitigación sugerido o lo deriva a un tercero técnico.</w:t>
      </w:r>
    </w:p>
    <w:p>
      <w:pPr>
        <w:ind w:left="397" w:hanging="283"/>
      </w:pPr>
      <w:r>
        <w:t xml:space="preserve">• </w:t>
      </w:r>
      <w:r>
        <w:rPr>
          <w:b/>
        </w:rPr>
        <w:t>Postcondición observable:</w:t>
      </w:r>
      <w:r>
        <w:t xml:space="preserve"> el reporte presenta evidencia, recomendación y límites de cada señal. La comprensión del administrador requiere una prueba de usuarios posterior.</w:t>
      </w:r>
    </w:p>
    <w:p>
      <w:r>
        <w:rPr>
          <w:b/>
        </w:rPr>
        <w:t>Caso de uso 3 — Ejecutar un escaneo parcial (solo algunos módulos):</w:t>
      </w:r>
    </w:p>
    <w:p>
      <w:pPr>
        <w:ind w:left="397" w:hanging="283"/>
      </w:pPr>
      <w:r>
        <w:t xml:space="preserve">• </w:t>
      </w:r>
      <w:r>
        <w:rPr>
          <w:b/>
        </w:rPr>
        <w:t>Actor:</w:t>
      </w:r>
      <w:r>
        <w:t xml:space="preserve"> administrador de PYME o el propio tesista durante pruebas.</w:t>
      </w:r>
    </w:p>
    <w:p>
      <w:pPr>
        <w:ind w:left="397" w:hanging="283"/>
      </w:pPr>
      <w:r>
        <w:t xml:space="preserve">• </w:t>
      </w:r>
      <w:r>
        <w:rPr>
          <w:b/>
        </w:rPr>
        <w:t>Flujo principal:</w:t>
      </w:r>
      <w:r>
        <w:t xml:space="preserve"> se invoca el CLI con </w:t>
      </w:r>
      <w:r>
        <w:rPr>
          <w:rFonts w:ascii="Consolas" w:hAnsi="Consolas"/>
          <w:sz w:val="18"/>
        </w:rPr>
        <w:t>--modules</w:t>
      </w:r>
      <w:r>
        <w:t xml:space="preserve"> para correr solo un subconjunto de módulos (p. ej. solo </w:t>
      </w:r>
      <w:r>
        <w:rPr>
          <w:rFonts w:ascii="Consolas" w:hAnsi="Consolas"/>
          <w:sz w:val="18"/>
        </w:rPr>
        <w:t>headers</w:t>
      </w:r>
      <w:r>
        <w:t>), útil para escaneos rápidos o para las pruebas de cada sprint.</w:t>
      </w:r>
    </w:p>
    <w:p>
      <w:pPr>
        <w:pStyle w:val="Heading2"/>
      </w:pPr>
      <w:r>
        <w:t>5.1.2. Definición de la arquitectura de la solución, datos y tecnológica</w:t>
      </w:r>
    </w:p>
    <w:p>
      <w:r>
        <w:t xml:space="preserve">El CLI llama a </w:t>
      </w:r>
      <w:r>
        <w:rPr>
          <w:rFonts w:ascii="Consolas" w:hAnsi="Consolas"/>
          <w:sz w:val="18"/>
        </w:rPr>
        <w:t>scan.ejecutar()</w:t>
      </w:r>
      <w:r>
        <w:t xml:space="preserve">. Este valida la URL y abre una sesión HTTP compartida. </w:t>
      </w:r>
      <w:r>
        <w:rPr>
          <w:rFonts w:ascii="Consolas" w:hAnsi="Consolas"/>
          <w:sz w:val="18"/>
        </w:rPr>
        <w:t>core/http_client.obtener()</w:t>
      </w:r>
      <w:r>
        <w:t xml:space="preserve"> solicita por GET la URL inicial, sin seguir redirecciones y con un máximo de 1 MB de cuerpo por respuesta. La misma respuesta alimenta reconocimiento, perfilado y análisis de cabeceras. Si se activan XSS o SQLi, solo se prueban hasta diez parámetros GET que ya aparecen en la URL introducida; no hay rastreo de enlaces ni envío de formularios.</w:t>
      </w:r>
    </w:p>
    <w:p>
      <w:r>
        <w:rPr>
          <w:b/>
        </w:rPr>
        <w:t>Figura 5.1. Flujo de ejecución por URL y módulos.</w:t>
      </w:r>
    </w:p>
    <w:p>
      <w:pPr>
        <w:spacing w:line="240" w:lineRule="auto" w:after="0"/>
      </w:pPr>
      <w:r>
        <w:rPr>
          <w:rFonts w:ascii="Consolas" w:hAnsi="Consolas"/>
          <w:sz w:val="16"/>
        </w:rPr>
        <w:t>URL y --modules → GET inicial → recon → cms</w:t>
      </w:r>
    </w:p>
    <w:p>
      <w:pPr>
        <w:spacing w:line="240" w:lineRule="auto" w:after="0"/>
      </w:pPr>
      <w:r>
        <w:rPr>
          <w:rFonts w:ascii="Consolas" w:hAnsi="Consolas"/>
          <w:sz w:val="16"/>
        </w:rPr>
        <w:t xml:space="preserve">                            ├→ headers</w:t>
      </w:r>
    </w:p>
    <w:p>
      <w:pPr>
        <w:spacing w:line="240" w:lineRule="auto" w:after="0"/>
      </w:pPr>
      <w:r>
        <w:rPr>
          <w:rFonts w:ascii="Consolas" w:hAnsi="Consolas"/>
          <w:sz w:val="16"/>
        </w:rPr>
        <w:t xml:space="preserve">                            ├→ XSS: hasta dos GET por parámetro</w:t>
      </w:r>
    </w:p>
    <w:p>
      <w:pPr>
        <w:spacing w:line="240" w:lineRule="auto" w:after="0"/>
      </w:pPr>
      <w:r>
        <w:rPr>
          <w:rFonts w:ascii="Consolas" w:hAnsi="Consolas"/>
          <w:sz w:val="16"/>
        </w:rPr>
        <w:t xml:space="preserve">                            └→ SQLi: hasta dos GET por parámetro</w:t>
      </w:r>
    </w:p>
    <w:p>
      <w:pPr>
        <w:spacing w:line="240" w:lineRule="auto" w:after="0"/>
      </w:pPr>
      <w:r>
        <w:rPr>
          <w:rFonts w:ascii="Consolas" w:hAnsi="Consolas"/>
          <w:sz w:val="16"/>
        </w:rPr>
        <w:t xml:space="preserve">                         → ResultadoEscaneo → texto o JSON</w:t>
      </w:r>
    </w:p>
    <w:p>
      <w:r>
        <w:rPr>
          <w:rFonts w:ascii="Consolas" w:hAnsi="Consolas"/>
          <w:sz w:val="18"/>
        </w:rPr>
        <w:t>recon</w:t>
      </w:r>
      <w:r>
        <w:t xml:space="preserve"> identifica señales de WordPress, Joomla y Laravel. </w:t>
      </w:r>
      <w:r>
        <w:rPr>
          <w:rFonts w:ascii="Consolas" w:hAnsi="Consolas"/>
          <w:sz w:val="18"/>
        </w:rPr>
        <w:t>cms</w:t>
      </w:r>
      <w:r>
        <w:t xml:space="preserve"> extrae plugins y tema visibles de WordPress, componentes y plantillas visibles de Joomla; en Laravel registra que la versión puede no estar expuesta. No infiere versiones ocultas. Los módulos DAST comparan respuestas de la misma URL con valores de prueba distintos y la respuesta inicial. Esta integración está cubierta por </w:t>
      </w:r>
      <w:r>
        <w:rPr>
          <w:rFonts w:ascii="Consolas" w:hAnsi="Consolas"/>
          <w:sz w:val="18"/>
        </w:rPr>
        <w:t>tests/test_scan_local.py</w:t>
      </w:r>
      <w:r>
        <w:t>, cuatro pruebas Docker y las 45 corridas del experimento final.</w:t>
      </w:r>
    </w:p>
    <w:p>
      <w:r>
        <w:t xml:space="preserve">La herramienta opera en memoria y solo crea un archivo si se usa </w:t>
      </w:r>
      <w:r>
        <w:rPr>
          <w:rFonts w:ascii="Consolas" w:hAnsi="Consolas"/>
          <w:sz w:val="18"/>
        </w:rPr>
        <w:t>--output</w:t>
      </w:r>
      <w:r>
        <w:t xml:space="preserve">. La serialización JSON conserva el resultado estructurado. Para el experimento se añadieron por separado un manifiesto de configuración y un registro de cada proceso en </w:t>
      </w:r>
      <w:r>
        <w:rPr>
          <w:rFonts w:ascii="Consolas" w:hAnsi="Consolas"/>
          <w:sz w:val="18"/>
        </w:rPr>
        <w:t>tests/results/20261013T191303Z</w:t>
      </w:r>
      <w:r>
        <w:t>; el escáner no guarda cuerpos HTTP completos.</w:t>
      </w:r>
    </w:p>
    <w:p>
      <w:pPr>
        <w:pStyle w:val="Heading2"/>
      </w:pPr>
      <w:r>
        <w:t>5.1.3. Modelo de datos sin base de datos propia</w:t>
      </w:r>
    </w:p>
    <w:p>
      <w:r>
        <w:t>El escáner no necesita una base de datos persistente: cada ejecución procesa una URL, mantiene objetos Python en memoria y opcionalmente escribe un reporte de texto o JSON. Las bases MariaDB de los contenedores WordPress, Joomla y Laravel pertenecen a los objetivos de prueba, no al escáner. Este modelo reduce dependencias de despliegue, pero impide consultar históricos hasta que se conserve una colección externa de reportes.</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Estructura</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Campos principales</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Uso</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RespuestaHTTP</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URL, estado, cabeceras, cookies y texto acotado a 1 MB</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Entrada compartida del análisis; no se persiste</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HallazgoRecon</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tecnología, versión opcional, confianza de firma, evidencia, método y detalles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Salida de </w:t>
            </w:r>
            <w:r>
              <w:rPr>
                <w:rFonts w:ascii="Consolas" w:hAnsi="Consolas"/>
                <w:sz w:val="16"/>
              </w:rPr>
              <w:t>recon</w:t>
            </w:r>
            <w:r>
              <w:rPr>
                <w:sz w:val="16"/>
              </w:rPr>
              <w:t xml:space="preserve"> y </w:t>
            </w:r>
            <w:r>
              <w:rPr>
                <w:rFonts w:ascii="Consolas" w:hAnsi="Consolas"/>
                <w:sz w:val="16"/>
              </w:rPr>
              <w:t>cms</w:t>
            </w:r>
            <w:r>
              <w:rPr>
                <w:sz w:val="16"/>
              </w:rPr>
              <w:t xml:space="preserve">; </w:t>
            </w:r>
            <w:r>
              <w:rPr>
                <w:rFonts w:ascii="Consolas" w:hAnsi="Consolas"/>
                <w:sz w:val="16"/>
              </w:rPr>
              <w:t>None</w:t>
            </w:r>
            <w:r>
              <w:rPr>
                <w:sz w:val="16"/>
              </w:rPr>
              <w:t xml:space="preserve"> si no hay coincidencia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HallazgoSeguridad</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código, módulo, severidad, título, evidencia resumida, recomendación, URL, parámetro opcional y confianza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Observación de XSS, SQLi o cabeceras; indicativa salvo ausencia de cabecera observada</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ResultadoEscaneo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objetivo, HTTP, reconocimiento, lista de hallazgos, duración, peticiones y módulos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Contrato de entrada del reporte de texto o JSON</w:t>
            </w:r>
          </w:p>
        </w:tc>
      </w:tr>
    </w:tbl>
    <w:p>
      <w:r>
        <w:t>No se almacena una tabla de usuarios, sesiones o vulnerabilidades en una base de datos propia. El JSON opcional representa una ejecución, no una base de datos relacional. La unidad de evaluación futura debe identificar cada caso por objetivo, parámetro y tipo de prueba para calcular métricas sin duplicados.</w:t>
      </w:r>
    </w:p>
    <w:p>
      <w:pPr>
        <w:pStyle w:val="Heading2"/>
      </w:pPr>
      <w:r>
        <w:t>5.1.4. Determinación de los requerimientos funcionales y no funcionales</w:t>
      </w:r>
    </w:p>
    <w:p>
      <w:r>
        <w:rPr>
          <w:b/>
        </w:rPr>
        <w:t>Requerimientos funcionales:</w:t>
      </w:r>
    </w:p>
    <w:tbl>
      <w:tblPr>
        <w:tblW w:type="auto" w:w="0"/>
        <w:tblLayout w:type="autofit"/>
        <w:tblLook w:firstColumn="1" w:firstRow="1" w:lastColumn="0" w:lastRow="0" w:noHBand="0" w:noVBand="1" w:val="04A0"/>
      </w:tblPr>
      <w:tblGrid>
        <w:gridCol w:w="4252"/>
        <w:gridCol w:w="4252"/>
      </w:tblGrid>
      <w:tr>
        <w:trPr>
          <w:tblHeader w:val="true"/>
          <w:cantSplit/>
        </w:trPr>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ID</w:t>
            </w:r>
          </w:p>
        </w:tc>
        <w:tc>
          <w:tcPr>
            <w:tcW w:type="dxa" w:w="4252"/>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Requerimiento</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RF-01</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aceptar una URL objetivo por línea de comandos y ejecutar el pipeline de módulos seleccionados.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RF-02</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identificar el CMS (WordPress, Joomla o Laravel) y su versión cuando sea detectable.</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RF-03</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detectar XSS reflejado y SQL Injection mediante pruebas no destructivas.</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RF-04</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verificar la presencia/ausencia de cabeceras de seguridad HTTP estándar.</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RF-05</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aplicar una validación en dos fases antes de reportar cualquier hallazgo de los módulos DAST.</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RF-06</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generar un reporte legible que incluya, por cada hallazgo: severidad, evidencia y recomendación de mitigación en lenguaje simple.</w:t>
            </w:r>
          </w:p>
        </w:tc>
      </w:tr>
      <w:tr>
        <w:trPr>
          <w:cantSplit/>
        </w:trPr>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RF-07</w:t>
            </w:r>
          </w:p>
        </w:tc>
        <w:tc>
          <w:tcPr>
            <w:tcW w:type="dxa" w:w="4252"/>
            <w:vAlign w:val="center"/>
            <w:tcBorders>
              <w:top w:val="single" w:sz="4" w:color="D9D9D9"/>
              <w:left w:val="single" w:sz="4" w:color="D9D9D9"/>
              <w:bottom w:val="single" w:sz="4" w:color="D9D9D9"/>
              <w:right w:val="single" w:sz="4" w:color="D9D9D9"/>
            </w:tcBorders>
          </w:tcPr>
          <w:p>
            <w:pPr>
              <w:spacing w:after="40"/>
            </w:pPr>
            <w:r>
              <w:rPr>
                <w:sz w:val="16"/>
              </w:rPr>
            </w:r>
            <w:r>
              <w:rPr>
                <w:sz w:val="16"/>
              </w:rPr>
              <w:t>El sistema debe permitir activar/desactivar módulos individualmente vía CLI.</w:t>
            </w:r>
          </w:p>
        </w:tc>
      </w:tr>
    </w:tbl>
    <w:p>
      <w:r>
        <w:rPr>
          <w:b/>
        </w:rPr>
        <w:t>Requerimientos no funcionales</w:t>
      </w:r>
      <w:r>
        <w:t xml:space="preserve"> (metas de diseño derivadas del objetivo general, 1.4.1):</w:t>
      </w:r>
    </w:p>
    <w:tbl>
      <w:tblPr>
        <w:tblW w:type="auto" w:w="0"/>
        <w:tblLayout w:type="autofit"/>
        <w:tblLook w:firstColumn="1" w:firstRow="1" w:lastColumn="0" w:lastRow="0" w:noHBand="0" w:noVBand="1" w:val="04A0"/>
      </w:tblPr>
      <w:tblGrid>
        <w:gridCol w:w="2835"/>
        <w:gridCol w:w="2835"/>
        <w:gridCol w:w="2835"/>
      </w:tblGrid>
      <w:tr>
        <w:trPr>
          <w:tblHeader w:val="true"/>
          <w:cantSplit/>
        </w:trPr>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ID</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Requerimiento</w:t>
            </w:r>
          </w:p>
        </w:tc>
        <w:tc>
          <w:tcPr>
            <w:tcW w:type="dxa" w:w="2835"/>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Umbral</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RNF-01</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Consumo de memoria</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&lt;500 MB RAM durante un escaneo completo</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RNF-02</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Tiempo de escaneo</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Medir duración por URL con latencia, parámetros y módulos declarados; el antiguo umbral &lt;30 minutos/500 páginas no es evaluable sin rastreo</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RNF-03</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Curva de aprendizaje</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&lt;5 horas para que un administrador sin perfil técnico use el CLI y entienda el reporte</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RNF-04</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No destructividad</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Cero payloads que modifiquen, borren o corrompan datos del objetivo (sección 1.6)</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RNF-05</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Cobertura de pruebas automatizadas</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&gt;80% de cobertura de código (Pytest)</w:t>
            </w:r>
          </w:p>
        </w:tc>
      </w:tr>
      <w:tr>
        <w:trPr>
          <w:cantSplit/>
        </w:trPr>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RNF-06</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Portabilidad</w:t>
            </w:r>
          </w:p>
        </w:tc>
        <w:tc>
          <w:tcPr>
            <w:tcW w:type="dxa" w:w="2835"/>
            <w:vAlign w:val="center"/>
            <w:tcBorders>
              <w:top w:val="single" w:sz="4" w:color="D9D9D9"/>
              <w:left w:val="single" w:sz="4" w:color="D9D9D9"/>
              <w:bottom w:val="single" w:sz="4" w:color="D9D9D9"/>
              <w:right w:val="single" w:sz="4" w:color="D9D9D9"/>
            </w:tcBorders>
          </w:tcPr>
          <w:p>
            <w:pPr>
              <w:spacing w:after="40"/>
            </w:pPr>
            <w:r>
              <w:rPr>
                <w:sz w:val="16"/>
              </w:rPr>
            </w:r>
            <w:r>
              <w:rPr>
                <w:sz w:val="16"/>
              </w:rPr>
              <w:t>Compatibilidad prevista en Python 3.9+; por ahora solo se verificó Python 3.12 en Windows</w:t>
            </w:r>
          </w:p>
        </w:tc>
      </w:tr>
    </w:tbl>
    <w:p>
      <w:r>
        <w:t>RNF-01 se cumplió en el laboratorio local para una sola URL por corrida (pico máximo 30,70 MiB), sin inferir el mismo resultado en hosting compartido. RNF-05 se verificó con 92% de cobertura total en la suite final. RNF-02 tiene medición local por URL pero no el escenario anterior de 500 páginas. RNF-03 y RNF-06 requieren evaluación con usuarios y en otros sistemas, respectivamente.</w:t>
      </w:r>
    </w:p>
    <w:p>
      <w:pPr>
        <w:pStyle w:val="Heading2"/>
      </w:pPr>
      <w:r>
        <w:t>5.2. Implementación de la solución</w:t>
      </w:r>
    </w:p>
    <w:p>
      <w:pPr>
        <w:pStyle w:val="Heading2"/>
      </w:pPr>
      <w:r>
        <w:t>5.2.1. Definición de métricas y pruebas del sistema</w:t>
      </w:r>
    </w:p>
    <w:p>
      <w:r>
        <w:t xml:space="preserve">La evaluación de laboratorio usa tres instalaciones Docker locales: WordPress, Joomla y Laravel con MariaDB. En cada contenedor se montaron dos páginas PHP controladas: la positiva refleja </w:t>
      </w:r>
      <w:r>
        <w:rPr>
          <w:rFonts w:ascii="Consolas" w:hAnsi="Consolas"/>
          <w:sz w:val="18"/>
        </w:rPr>
        <w:t>q</w:t>
      </w:r>
      <w:r>
        <w:t xml:space="preserve"> sin codificar, concatena </w:t>
      </w:r>
      <w:r>
        <w:rPr>
          <w:rFonts w:ascii="Consolas" w:hAnsi="Consolas"/>
          <w:sz w:val="18"/>
        </w:rPr>
        <w:t>q</w:t>
      </w:r>
      <w:r>
        <w:t xml:space="preserve"> en una consulta SQL de solo lectura y omite tres cabeceras; la negativa codifica HTML, usa una consulta parametrizada y envía esas cabeceras. La verdad de referencia se deriva del código </w:t>
      </w:r>
      <w:r>
        <w:rPr>
          <w:rFonts w:ascii="Consolas" w:hAnsi="Consolas"/>
          <w:sz w:val="18"/>
        </w:rPr>
        <w:t>docker/lab/scanner_case.php</w:t>
      </w:r>
      <w:r>
        <w:t xml:space="preserve">, cuyo hash SHA-256 está en </w:t>
      </w:r>
      <w:r>
        <w:rPr>
          <w:rFonts w:ascii="Consolas" w:hAnsi="Consolas"/>
          <w:sz w:val="18"/>
        </w:rPr>
        <w:t>tests/results/20261013T191303Z/manifest.json</w:t>
      </w:r>
      <w:r>
        <w:t>. La página principal de cada CMS se evalúa por separado para reconocimiento. Los endpoints PHP son instrumentación de laboratorio; no representan vulnerabilidades de instalaciones estándar ni de PYMEs.</w:t>
      </w:r>
    </w:p>
    <w:p>
      <w:r>
        <w:t xml:space="preserve">Antes de medir se fijaron cinco corridas por caso y un voto mayoritario por pareja caso–código de señal. Los nueve casos (dos de seguridad y uno de CMS por tecnología) producen 45 ejecuciones del CLI; en los seis casos de seguridad se activa el pipeline completo. Las repeticiones sirven para observar estabilidad y dispersión y </w:t>
      </w:r>
      <w:r>
        <w:rPr>
          <w:b/>
        </w:rPr>
        <w:t>no se tratan como 45 casos independientes</w:t>
      </w:r>
      <w:r>
        <w:t xml:space="preserve">. </w:t>
      </w:r>
      <w:r>
        <w:rPr>
          <w:rFonts w:ascii="Consolas" w:hAnsi="Consolas"/>
          <w:sz w:val="18"/>
        </w:rPr>
        <w:t>runs.jsonl</w:t>
      </w:r>
      <w:r>
        <w:t xml:space="preserve"> conserva comandos, salidas JSON y horas; </w:t>
      </w:r>
      <w:r>
        <w:rPr>
          <w:rFonts w:ascii="Consolas" w:hAnsi="Consolas"/>
          <w:sz w:val="18"/>
        </w:rPr>
        <w:t>summary.json</w:t>
      </w:r>
      <w:r>
        <w:t xml:space="preserve"> se recalcula con </w:t>
      </w:r>
      <w:r>
        <w:rPr>
          <w:rFonts w:ascii="Consolas" w:hAnsi="Consolas"/>
          <w:sz w:val="18"/>
        </w:rPr>
        <w:t>tests/experiment/analyze_docker.py</w:t>
      </w:r>
      <w:r>
        <w:t xml:space="preserve">. El manifiesto guarda sistema, Python, paquetes y hashes; </w:t>
      </w:r>
      <w:r>
        <w:rPr>
          <w:rFonts w:ascii="Consolas" w:hAnsi="Consolas"/>
          <w:sz w:val="18"/>
        </w:rPr>
        <w:t>docker-images.txt</w:t>
      </w:r>
      <w:r>
        <w:t xml:space="preserve"> identifica imágenes exactas.</w:t>
      </w:r>
    </w:p>
    <w:p>
      <w:r>
        <w:t xml:space="preserve">Para los cinco códigos de seguridad por endpoint se cuentan VP, FP, VN y FN por caso según el voto mayoritario. Precisión = VP/(VP+FP), recall = VP/(VP+FN), exactitud = (VP+VN)/(VP+VN+FP+FN). Si un denominador es cero, la métrica queda sin definir. La duración se mide desde antes de la GET inicial hasta terminar los módulos, sin arranque de Python ni serialización; el pico de memoria en Windows es </w:t>
      </w:r>
      <w:r>
        <w:rPr>
          <w:rFonts w:ascii="Consolas" w:hAnsi="Consolas"/>
          <w:sz w:val="18"/>
        </w:rPr>
        <w:t>PeakWorkingSetSize</w:t>
      </w:r>
      <w:r>
        <w:t xml:space="preserve"> del proceso. La medición es por una URL inicial con un parámetro GET, no por 500 páginas ni por una instalación de hosting compartido.</w:t>
      </w:r>
    </w:p>
    <w:p>
      <w:pPr>
        <w:pStyle w:val="Heading2"/>
      </w:pPr>
      <w:r>
        <w:t>5.2.2. Definición de algoritmos principales</w:t>
      </w:r>
    </w:p>
    <w:p>
      <w:r>
        <w:rPr>
          <w:b/>
        </w:rPr>
        <w:t>Reconocimiento y perfilado.</w:t>
      </w:r>
      <w:r>
        <w:t xml:space="preserve"> Una GET inicial produce </w:t>
      </w:r>
      <w:r>
        <w:rPr>
          <w:rFonts w:ascii="Consolas" w:hAnsi="Consolas"/>
          <w:sz w:val="18"/>
        </w:rPr>
        <w:t>RespuestaHTTP</w:t>
      </w:r>
      <w:r>
        <w:t xml:space="preserve">. Se comparan meta generator, cookies y rutas visibles en el HTML con firmas de WordPress, Joomla y Laravel. Se devuelve la primera tecnología coincidente y la versión solo si la señal la expone. </w:t>
      </w:r>
      <w:r>
        <w:rPr>
          <w:rFonts w:ascii="Consolas" w:hAnsi="Consolas"/>
          <w:sz w:val="18"/>
        </w:rPr>
        <w:t>cms.perfilar()</w:t>
      </w:r>
      <w:r>
        <w:t xml:space="preserve"> añade detalles visibles sin nueva petición desde el pipeline.</w:t>
      </w:r>
    </w:p>
    <w:p>
      <w:r>
        <w:rPr>
          <w:b/>
        </w:rPr>
        <w:t>XSS reflejado indicativo.</w:t>
      </w:r>
      <w:r>
        <w:t xml:space="preserve"> Para cada parámetro GET existente se generan dos etiquetas aleatorias dentro de elementos SVG con </w:t>
      </w:r>
      <w:r>
        <w:rPr>
          <w:rFonts w:ascii="Consolas" w:hAnsi="Consolas"/>
          <w:sz w:val="18"/>
        </w:rPr>
        <w:t>onload=void(0)</w:t>
      </w:r>
      <w:r>
        <w:t>. La primera variante se envía por GET; si el elemento aparece literalmente, se envía la segunda. Se reporta solo si ambos elementos aparecen sin codificar en sus respuestas y ninguno estaba en la respuesta base. El escáner no ejecuta JavaScript ni comprueba el efecto de CSP; una coincidencia indica posible XSS que requiere confirmación contextual. HTML escapado y parámetros que no se reflejan quedan fuera de la detección.</w:t>
      </w:r>
    </w:p>
    <w:p>
      <w:r>
        <w:rPr>
          <w:b/>
        </w:rPr>
        <w:t>SQLi basada en errores indicativa.</w:t>
      </w:r>
      <w:r>
        <w:t xml:space="preserve"> Se añade una comilla simple y luego una variante con comilla más texto al valor original de cada parámetro GET. Se busca una familia concreta de mensajes de error SQL en ambas respuestas y su ausencia en la base. No se envían sentencias </w:t>
      </w:r>
      <w:r>
        <w:rPr>
          <w:rFonts w:ascii="Consolas" w:hAnsi="Consolas"/>
          <w:sz w:val="18"/>
        </w:rPr>
        <w:t>UPDATE</w:t>
      </w:r>
      <w:r>
        <w:t xml:space="preserve">, </w:t>
      </w:r>
      <w:r>
        <w:rPr>
          <w:rFonts w:ascii="Consolas" w:hAnsi="Consolas"/>
          <w:sz w:val="18"/>
        </w:rPr>
        <w:t>DELETE</w:t>
      </w:r>
      <w:r>
        <w:t xml:space="preserve"> ni </w:t>
      </w:r>
      <w:r>
        <w:rPr>
          <w:rFonts w:ascii="Consolas" w:hAnsi="Consolas"/>
          <w:sz w:val="18"/>
        </w:rPr>
        <w:t>DROP</w:t>
      </w:r>
      <w:r>
        <w:t>, ni se extraen datos. Un error ocultado por la aplicación o una SQLi ciega puede producir falso negativo; un mensaje generado por otra capa puede producir falso positivo.</w:t>
      </w:r>
    </w:p>
    <w:p>
      <w:r>
        <w:rPr>
          <w:b/>
        </w:rPr>
        <w:t>Cabeceras.</w:t>
      </w:r>
      <w:r>
        <w:t xml:space="preserve"> Se normalizan nombres sin distinguir mayúsculas. En HTML se observa CSP y protección de embebido mediante </w:t>
      </w:r>
      <w:r>
        <w:rPr>
          <w:rFonts w:ascii="Consolas" w:hAnsi="Consolas"/>
          <w:sz w:val="18"/>
        </w:rPr>
        <w:t>frame-ancestors</w:t>
      </w:r>
      <w:r>
        <w:t xml:space="preserve"> o </w:t>
      </w:r>
      <w:r>
        <w:rPr>
          <w:rFonts w:ascii="Consolas" w:hAnsi="Consolas"/>
          <w:sz w:val="18"/>
        </w:rPr>
        <w:t>X-Frame-Options</w:t>
      </w:r>
      <w:r>
        <w:t xml:space="preserve">; en toda respuesta se observa </w:t>
      </w:r>
      <w:r>
        <w:rPr>
          <w:rFonts w:ascii="Consolas" w:hAnsi="Consolas"/>
          <w:sz w:val="18"/>
        </w:rPr>
        <w:t>X-Content-Type-Options: nosniff</w:t>
      </w:r>
      <w:r>
        <w:t>; HSTS solo se comprueba en HTTPS. La ausencia es una recomendación de configuración, no prueba de explotación. Todos los módulos producen observaciones con alcance y limitaciones visibles en el reporte.</w:t>
      </w:r>
    </w:p>
    <w:p>
      <w:r>
        <w:t xml:space="preserve">La confirmación diferencial de XSS y SQLi está dentro de cada módulo. El </w:t>
      </w:r>
      <w:r>
        <w:rPr>
          <w:rFonts w:ascii="Consolas" w:hAnsi="Consolas"/>
          <w:sz w:val="18"/>
        </w:rPr>
        <w:t>core/validation.py</w:t>
      </w:r>
      <w:r>
        <w:t xml:space="preserve"> genérico previsto originalmente no existe; extraer lógica compartida solo se justificará si se demuestra una regla común sin perder las diferencias entre detectores.</w:t>
      </w:r>
    </w:p>
    <w:p>
      <w:pPr>
        <w:pStyle w:val="Heading2"/>
      </w:pPr>
      <w:r>
        <w:t>5.2.3. Lista de módulos principales</w:t>
      </w:r>
    </w:p>
    <w:tbl>
      <w:tblPr>
        <w:tblW w:type="auto" w:w="0"/>
        <w:tblLayout w:type="autofit"/>
        <w:tblLook w:firstColumn="1" w:firstRow="1" w:lastColumn="0" w:lastRow="0" w:noHBand="0" w:noVBand="1" w:val="04A0"/>
      </w:tblPr>
      <w:tblGrid>
        <w:gridCol w:w="2126"/>
        <w:gridCol w:w="2126"/>
        <w:gridCol w:w="2126"/>
        <w:gridCol w:w="2126"/>
      </w:tblGrid>
      <w:tr>
        <w:trPr>
          <w:tblHeader w:val="true"/>
          <w:cantSplit/>
        </w:trPr>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Módulo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Entrada y salida</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Requisito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Estado y prueba</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recon</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RespuestaHTTP</w:t>
            </w:r>
            <w:r>
              <w:rPr>
                <w:sz w:val="16"/>
              </w:rPr>
              <w:t xml:space="preserve"> → </w:t>
            </w:r>
            <w:r>
              <w:rPr>
                <w:rFonts w:ascii="Consolas" w:hAnsi="Consolas"/>
                <w:sz w:val="16"/>
              </w:rPr>
              <w:t>HallazgoRecon</w:t>
            </w:r>
            <w:r>
              <w:rPr>
                <w:sz w:val="16"/>
              </w:rPr>
              <w:t xml:space="preserve"> opcional</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RF-02</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fixtures, servidor local y tres páginas base Docker</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cms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HallazgoRecon</w:t>
            </w:r>
            <w:r>
              <w:rPr>
                <w:sz w:val="16"/>
              </w:rPr>
              <w:t xml:space="preserve"> + HTML → reconocimiento enriquecido</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RF-02</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para detalles visibles de WordPress/Joomla y versión no expuesta de Laravel; pruebas unitarias y local</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xss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URL con GET + respuesta base → lista de </w:t>
            </w:r>
            <w:r>
              <w:rPr>
                <w:rFonts w:ascii="Consolas" w:hAnsi="Consolas"/>
                <w:sz w:val="16"/>
              </w:rPr>
              <w:t>HallazgoSeguridad</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RF-03, RF-05</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para reflejo literal diferencial; positivo y negativo locales; requiere validación contextual</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sqli</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URL con GET + respuesta base → lista de </w:t>
            </w:r>
            <w:r>
              <w:rPr>
                <w:rFonts w:ascii="Consolas" w:hAnsi="Consolas"/>
                <w:sz w:val="16"/>
              </w:rPr>
              <w:t>HallazgoSeguridad</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RF-03, RF-05</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para errores SQL diferenciales; positivo y negativo locales; no cubre SQLi ciega</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headers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respuesta base → observaciones de cabeceras ausentes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RF-04</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positivo y negativo locales; HSTS condicionado a HTTPS</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reporting</w:t>
            </w:r>
            <w:r>
              <w:rPr>
                <w:sz w:val="16"/>
              </w:rPr>
              <w:t xml:space="preserve"> y CLI</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ResultadoEscaneo</w:t>
            </w:r>
            <w:r>
              <w:rPr>
                <w:sz w:val="16"/>
              </w:rPr>
              <w:t xml:space="preserve"> → texto, JSON o archivo</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RF-01, RF-06, RF-07</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Implementado; 45 procesos CLI en el laboratorio; comprensión por administradores pendiente</w:t>
            </w:r>
          </w:p>
        </w:tc>
      </w:tr>
    </w:tbl>
    <w:p>
      <w:r>
        <w:t>El escáner limita su superficie a la URL inicial y sus parámetros GET existentes. No rastrea enlaces, formularios, sesiones autenticadas ni aplicaciones de una PYME real. Los resultados de estas pruebas locales de ingeniería no permiten inferir precisión, recall ni usabilidad de campo.</w:t>
      </w:r>
    </w:p>
    <w:p>
      <w:r>
        <w:br w:type="page"/>
      </w:r>
    </w:p>
    <w:p>
      <w:pPr>
        <w:pStyle w:val="Heading1"/>
      </w:pPr>
      <w:r>
        <w:t>Capítulo 6: Análisis de resultados</w:t>
      </w:r>
    </w:p>
    <w:p>
      <w:r>
        <w:t xml:space="preserve">Todos los números de este capítulo proceden de </w:t>
      </w:r>
      <w:r>
        <w:rPr>
          <w:rFonts w:ascii="Consolas" w:hAnsi="Consolas"/>
          <w:sz w:val="18"/>
        </w:rPr>
        <w:t>tests/results/20261013T191303Z/manifest.json</w:t>
      </w:r>
      <w:r>
        <w:t xml:space="preserve">, </w:t>
      </w:r>
      <w:r>
        <w:rPr>
          <w:rFonts w:ascii="Consolas" w:hAnsi="Consolas"/>
          <w:sz w:val="18"/>
        </w:rPr>
        <w:t>runs.jsonl</w:t>
      </w:r>
      <w:r>
        <w:t xml:space="preserve">, </w:t>
      </w:r>
      <w:r>
        <w:rPr>
          <w:rFonts w:ascii="Consolas" w:hAnsi="Consolas"/>
          <w:sz w:val="18"/>
        </w:rPr>
        <w:t>summary.json</w:t>
      </w:r>
      <w:r>
        <w:t xml:space="preserve"> y el cálculo de </w:t>
      </w:r>
      <w:r>
        <w:rPr>
          <w:rFonts w:ascii="Consolas" w:hAnsi="Consolas"/>
          <w:sz w:val="18"/>
        </w:rPr>
        <w:t>tests/experiment/analyze_docker.py</w:t>
      </w:r>
      <w:r>
        <w:t xml:space="preserve">. La carpeta </w:t>
      </w:r>
      <w:r>
        <w:rPr>
          <w:rFonts w:ascii="Consolas" w:hAnsi="Consolas"/>
          <w:sz w:val="18"/>
        </w:rPr>
        <w:t>20261013T191200Z</w:t>
      </w:r>
      <w:r>
        <w:t xml:space="preserve"> conserva un intento abortado por codificación y </w:t>
      </w:r>
      <w:r>
        <w:rPr>
          <w:rFonts w:ascii="Consolas" w:hAnsi="Consolas"/>
          <w:sz w:val="18"/>
        </w:rPr>
        <w:t>20261013T191209Z</w:t>
      </w:r>
      <w:r>
        <w:t xml:space="preserve"> una corrida piloto anterior al pipeline completo; ninguna se usa para los resultados siguientes.</w:t>
      </w:r>
    </w:p>
    <w:p>
      <w:pPr>
        <w:pStyle w:val="Heading2"/>
      </w:pPr>
      <w:r>
        <w:t>6.1. Interpretación de los resultados</w:t>
      </w:r>
    </w:p>
    <w:p>
      <w:r>
        <w:rPr>
          <w:b/>
        </w:rPr>
        <w:t>Tabla 6.1. Clasificación por caso y código de señal en el laboratorio local</w:t>
      </w:r>
    </w:p>
    <w:tbl>
      <w:tblPr>
        <w:tblW w:type="auto" w:w="0"/>
        <w:tblLayout w:type="autofit"/>
        <w:tblLook w:firstColumn="1" w:firstRow="1" w:lastColumn="0" w:lastRow="0" w:noHBand="0" w:noVBand="1" w:val="04A0"/>
      </w:tblPr>
      <w:tblGrid>
        <w:gridCol w:w="1701"/>
        <w:gridCol w:w="1701"/>
        <w:gridCol w:w="1701"/>
        <w:gridCol w:w="1701"/>
        <w:gridCol w:w="1701"/>
      </w:tblGrid>
      <w:tr>
        <w:trPr>
          <w:tblHeader w:val="true"/>
          <w:cantSplit/>
        </w:trPr>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Tipo de señal</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VP</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FP</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VN</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FN</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XSS reflejado indicativo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SQLi por errores indicativa</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Ausencia de CSP</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Ausencia de protección contra embebido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Ausencia de </w:t>
            </w:r>
            <w:r>
              <w:rPr>
                <w:rFonts w:ascii="Consolas" w:hAnsi="Consolas"/>
                <w:sz w:val="16"/>
              </w:rPr>
              <w:t>X-Content-Type-Options: nosniff</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3</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0</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Total de decisiones caso–código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15</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0</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15</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b/>
                <w:sz w:val="16"/>
              </w:rPr>
              <w:t>0</w:t>
            </w:r>
          </w:p>
        </w:tc>
      </w:tr>
    </w:tbl>
    <w:p>
      <w:r>
        <w:t xml:space="preserve">Con las fórmulas de 5.2.1, precisión, recall y exactitud resultan 15/15 = 1,00; (15+15)/30 = 1,00 para exactitud. Los cinco resultados de cada caso fueron estables; </w:t>
      </w:r>
      <w:r>
        <w:rPr>
          <w:rFonts w:ascii="Consolas" w:hAnsi="Consolas"/>
          <w:sz w:val="18"/>
        </w:rPr>
        <w:t>summary.json</w:t>
      </w:r>
      <w:r>
        <w:t xml:space="preserve"> no registra casos inestables. Este resultado perfecto refleja un conjunto pequeño creado para coincidir con los mecanismos detectables del prototipo. No estima sensibilidad frente a SQLi ciega, XSS almacenado, formularios POST, aplicaciones heterogéneas ni sitios de PYMEs peruanas. En las páginas principales, la clasificación de tecnología fue correcta en 3 de 3 CMS, con cinco repeticiones concordantes en cada uno. La versión apareció en WordPress; Joomla y Laravel no la expusieron en la señal usada, y el escáner no la inventó.</w:t>
      </w:r>
    </w:p>
    <w:p>
      <w:pPr>
        <w:pStyle w:val="Heading2"/>
      </w:pPr>
      <w:r>
        <w:t>6.2. Sobre el sistema</w:t>
      </w:r>
    </w:p>
    <w:p>
      <w:r>
        <w:br w:type="page"/>
      </w:r>
    </w:p>
    <w:p>
      <w:r>
        <w:rPr>
          <w:b/>
        </w:rPr>
        <w:t>Tabla 6.2. Recursos observados en 45 procesos frescos</w:t>
      </w:r>
    </w:p>
    <w:tbl>
      <w:tblPr>
        <w:tblW w:type="auto" w:w="0"/>
        <w:tblLayout w:type="autofit"/>
        <w:tblLook w:firstColumn="1" w:firstRow="1" w:lastColumn="0" w:lastRow="0" w:noHBand="0" w:noVBand="1" w:val="04A0"/>
      </w:tblPr>
      <w:tblGrid>
        <w:gridCol w:w="2126"/>
        <w:gridCol w:w="2126"/>
        <w:gridCol w:w="2126"/>
        <w:gridCol w:w="2126"/>
      </w:tblGrid>
      <w:tr>
        <w:trPr>
          <w:tblHeader w:val="true"/>
          <w:cantSplit/>
        </w:trPr>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Grupo de corridas</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Número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Duración mediana; mínimo–máximo</w:t>
            </w:r>
          </w:p>
        </w:tc>
        <w:tc>
          <w:tcPr>
            <w:tcW w:type="dxa" w:w="2126"/>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Pico de memoria mediano; máximo</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Seguridad, pipeline completo sobre una URL con </w:t>
            </w:r>
            <w:r>
              <w:rPr>
                <w:rFonts w:ascii="Consolas" w:hAnsi="Consolas"/>
                <w:sz w:val="16"/>
              </w:rPr>
              <w:t>q</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30</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0,0309 s; 0,0169–0,0952 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30,26 MiB; 30,43 MiB</w:t>
            </w:r>
          </w:p>
        </w:tc>
      </w:tr>
      <w:tr>
        <w:trPr>
          <w:cantSplit/>
        </w:trPr>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Reconocimiento y perfilado de página principal</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15</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0,0558 s; 0,0203–0,1541 s</w:t>
            </w:r>
          </w:p>
        </w:tc>
        <w:tc>
          <w:tcPr>
            <w:tcW w:type="dxa" w:w="2126"/>
            <w:vAlign w:val="center"/>
            <w:tcBorders>
              <w:top w:val="single" w:sz="4" w:color="D9D9D9"/>
              <w:left w:val="single" w:sz="4" w:color="D9D9D9"/>
              <w:bottom w:val="single" w:sz="4" w:color="D9D9D9"/>
              <w:right w:val="single" w:sz="4" w:color="D9D9D9"/>
            </w:tcBorders>
          </w:tcPr>
          <w:p>
            <w:pPr>
              <w:spacing w:after="40"/>
            </w:pPr>
            <w:r>
              <w:rPr>
                <w:sz w:val="16"/>
              </w:rPr>
            </w:r>
            <w:r>
              <w:rPr>
                <w:sz w:val="16"/>
              </w:rPr>
              <w:t>30,46 MiB; 30,70 MiB</w:t>
            </w:r>
          </w:p>
        </w:tc>
      </w:tr>
    </w:tbl>
    <w:p>
      <w:r>
        <w:t xml:space="preserve">Los valores corresponden al equipo Windows y a la red local; </w:t>
      </w:r>
      <w:r>
        <w:rPr>
          <w:rFonts w:ascii="Consolas" w:hAnsi="Consolas"/>
          <w:sz w:val="18"/>
        </w:rPr>
        <w:t>manifest.json</w:t>
      </w:r>
      <w:r>
        <w:t xml:space="preserve"> registra plataforma, Python y método de medición. El máximo de memoria fue inferior a la meta de 500 MB </w:t>
      </w:r>
      <w:r>
        <w:rPr>
          <w:b/>
        </w:rPr>
        <w:t>en este escenario</w:t>
      </w:r>
      <w:r>
        <w:t xml:space="preserve">. No se midieron sitios de 500 páginas, hosting compartido, escaneo autenticado ni facilidad de uso. El tiempo excluye arranque del intérprete, reporte y latencia de Internet. Cero hallazgos en </w:t>
      </w:r>
      <w:r>
        <w:rPr>
          <w:rFonts w:ascii="Consolas" w:hAnsi="Consolas"/>
          <w:sz w:val="18"/>
        </w:rPr>
        <w:t>scanner-safe.php</w:t>
      </w:r>
      <w:r>
        <w:t xml:space="preserve"> solo significa que no aparecieron las cinco señales estudiadas.</w:t>
      </w:r>
    </w:p>
    <w:p>
      <w:r>
        <w:t xml:space="preserve">La suite automatizada final ejecutada con </w:t>
      </w:r>
      <w:r>
        <w:rPr>
          <w:rFonts w:ascii="Consolas" w:hAnsi="Consolas"/>
          <w:sz w:val="18"/>
        </w:rPr>
        <w:t>.venv/Scripts/python.exe -m pytest --cov=scanner --cov-report=term-missing -q</w:t>
      </w:r>
      <w:r>
        <w:t xml:space="preserve"> terminó con </w:t>
      </w:r>
      <w:r>
        <w:rPr>
          <w:b/>
        </w:rPr>
        <w:t>19 pruebas aprobadas y 92% de cobertura total</w:t>
      </w:r>
      <w:r>
        <w:t xml:space="preserve"> en Python 3.12.0, con los tres contenedores activos. La cobertura mide líneas ejecutadas, no capacidad de descubrir vulnerabilidades externas.</w:t>
      </w:r>
    </w:p>
    <w:p>
      <w:pPr>
        <w:pStyle w:val="Heading2"/>
      </w:pPr>
      <w:r>
        <w:t>6.3. Sobre la metodología</w:t>
      </w:r>
    </w:p>
    <w:p>
      <w:r>
        <w:t xml:space="preserve">El experimento separó etiquetas previas de las 45 salidas crudas. La comparación por mayoría, fijada antes de la corrida, evita contar cinco veces un caso. La verdad de referencia está en un archivo PHP: el positivo devuelve HTML sin escape y concatena en </w:t>
      </w:r>
      <w:r>
        <w:rPr>
          <w:rFonts w:ascii="Consolas" w:hAnsi="Consolas"/>
          <w:sz w:val="18"/>
        </w:rPr>
        <w:t>SELECT 1</w:t>
      </w:r>
      <w:r>
        <w:t>; el negativo escapa la salida y parametriza la consulta. Los tres contenedores comparten ese endpoint. Los 30 pares caso–código no son vulnerabilidades independientes ni justifican intervalos de confianza poblacionales. No se hicieron entrevistas ni validación con PYMEs.</w:t>
      </w:r>
    </w:p>
    <w:p>
      <w:pPr>
        <w:pStyle w:val="Heading2"/>
      </w:pPr>
      <w:r>
        <w:t>6.4. Sobre el diseño de la arquitectura</w:t>
      </w:r>
    </w:p>
    <w:p>
      <w:r>
        <w:t xml:space="preserve">El CLI integró los módulos en un proceso. </w:t>
      </w:r>
      <w:r>
        <w:rPr>
          <w:rFonts w:ascii="Consolas" w:hAnsi="Consolas"/>
          <w:sz w:val="18"/>
        </w:rPr>
        <w:t>scan.ejecutar()</w:t>
      </w:r>
      <w:r>
        <w:t xml:space="preserve"> reutilizó la respuesta inicial; XSS y SQLi pidieron respuestas adicionales para un parámetro GET. Las dos fases fueron estables en los casos construidos. Sin comparar variantes no cabe atribuirles una reducción de falsos positivos o recursos. </w:t>
      </w:r>
      <w:r>
        <w:rPr>
          <w:rFonts w:ascii="Consolas" w:hAnsi="Consolas"/>
          <w:sz w:val="18"/>
        </w:rPr>
        <w:t>ResultadoEscaneo</w:t>
      </w:r>
      <w:r>
        <w:t xml:space="preserve"> produjo JSON recalculable y texto; su comprensión por administradores no se evaluó.</w:t>
      </w:r>
    </w:p>
    <w:p>
      <w:r>
        <w:br w:type="page"/>
      </w:r>
    </w:p>
    <w:p>
      <w:pPr>
        <w:pStyle w:val="Heading1"/>
      </w:pPr>
      <w:r>
        <w:t>Conclusiones</w:t>
      </w:r>
    </w:p>
    <w:p>
      <w:pPr>
        <w:ind w:left="397" w:hanging="283"/>
      </w:pPr>
      <w:r>
        <w:t>1. Respecto al objetivo específico 1, se seleccionó un conjunto acotado de pruebas por observabilidad HTTP y bajo riesgo operativo. No se demostró que sea el conjunto de mayor prevalencia en PYMEs peruanas porque no se dispone de una fuente comparable para esa población.</w:t>
      </w:r>
    </w:p>
    <w:p>
      <w:pPr>
        <w:ind w:left="397" w:hanging="283"/>
      </w:pPr>
      <w:r>
        <w:t>2. Respecto al objetivo 2, se implementó una arquitectura modular con sesión HTTP compartida, CLI y dos formatos de salida. Su funcionamiento conjunto se verificó con un servidor local y con tres contenedores; no se midió aún si activar selectivamente módulos reduce recursos frente a otras arquitecturas.</w:t>
      </w:r>
    </w:p>
    <w:p>
      <w:pPr>
        <w:ind w:left="397" w:hanging="283"/>
      </w:pPr>
      <w:r>
        <w:t>3. Respecto al objetivo 3, el prototipo reconoce WordPress, Joomla y Laravel, perfila señales públicas, comprueba cabeceras y reporta indicios de XSS reflejado y SQLi por errores mediante GET. Su alcance excluye formularios POST, sesiones autenticadas, XSS almacenado, SQLi ciega y pruebas de explotación.</w:t>
      </w:r>
    </w:p>
    <w:p>
      <w:pPr>
        <w:ind w:left="397" w:hanging="283"/>
      </w:pPr>
      <w:r>
        <w:t>4. Respecto al objetivo 4, en seis endpoints PHP controlados montados dentro de tres contenedores, las 30 decisiones por caso y código fueron 15 VP, 15 VN, 0 FP y 0 FN, con cinco repeticiones estables. La precisión y el recall de 1,00 solo describen este banco diseñado para los mecanismos del prototipo. El pico máximo observado fue 30,70 MiB y la suite obtuvo 92% de cobertura; no se midieron 500 páginas ni desempeño en una PYME real.</w:t>
      </w:r>
    </w:p>
    <w:p>
      <w:pPr>
        <w:ind w:left="397" w:hanging="283"/>
      </w:pPr>
      <w:r>
        <w:t>5. Respecto al objetivo 5, el CLI genera reportes de texto y JSON con evidencia resumida y recomendación por hallazgo. La comprensión de esos reportes por administradores sin perfil técnico no fue evaluada, por lo que la facilidad de uso sigue abierta.</w:t>
      </w:r>
    </w:p>
    <w:p>
      <w:r>
        <w:br w:type="page"/>
      </w:r>
    </w:p>
    <w:p>
      <w:pPr>
        <w:pStyle w:val="Heading1"/>
      </w:pPr>
      <w:r>
        <w:t>Recomendaciones</w:t>
      </w:r>
    </w:p>
    <w:p>
      <w:pPr>
        <w:ind w:left="397" w:hanging="283"/>
      </w:pPr>
      <w:r>
        <w:t>• Ampliar la verdad de referencia con casos independientes y variados, incluidos mensajes de error ocultos, reflejos en distintos contextos HTML y configuraciones de cabeceras justificadas por la aplicación. Registrar también los fallos de detección para evitar que el conjunto de prueba favorezca al algoritmo.</w:t>
      </w:r>
    </w:p>
    <w:p>
      <w:pPr>
        <w:ind w:left="397" w:hanging="283"/>
      </w:pPr>
      <w:r>
        <w:t>• Medir tiempo, pico de memoria y estabilidad con varias URLs, tamaños de respuesta y latencias definidas. El umbral antiguo de 500 páginas requiere rastreo de sitio, que no forma parte del prototipo actual.</w:t>
      </w:r>
    </w:p>
    <w:p>
      <w:pPr>
        <w:ind w:left="397" w:hanging="283"/>
      </w:pPr>
      <w:r>
        <w:t>• Evaluar el texto del reporte con administradores voluntarios mediante tareas y preguntas de comprensión previamente definidas, con consentimiento documentado. No inferir usabilidad a partir de que el JSON sea válido o el texto se genere.</w:t>
      </w:r>
    </w:p>
    <w:p>
      <w:pPr>
        <w:ind w:left="397" w:hanging="283"/>
      </w:pPr>
      <w:r>
        <w:t>• Operar solo sobre dominios propios o autorizados y revisar manualmente las señales DAST antes de concluir que existe una vulnerabilidad explotable.</w:t>
      </w:r>
    </w:p>
    <w:p>
      <w:r>
        <w:br w:type="page"/>
      </w:r>
    </w:p>
    <w:p>
      <w:pPr>
        <w:pStyle w:val="Heading1"/>
      </w:pPr>
      <w:r>
        <w:t>Trabajos futuros</w:t>
      </w:r>
    </w:p>
    <w:p>
      <w:pPr>
        <w:ind w:left="397" w:hanging="283"/>
      </w:pPr>
      <w:r>
        <w:t>1. Incorporar descubrimiento limitado de enlaces y formularios GET/POST con control de origen, presupuesto de peticiones y exclusión de acciones con efectos de escritura; evaluar cómo cambia el recall y el consumo de recursos.</w:t>
      </w:r>
    </w:p>
    <w:p>
      <w:pPr>
        <w:ind w:left="397" w:hanging="283"/>
      </w:pPr>
      <w:r>
        <w:t>2. Añadir confirmación de XSS en un navegador aislado para distinguir reflejo literal de ejecución posible bajo CSP y contexto DOM. Conservar evidencia sin usar aplicaciones de terceros.</w:t>
      </w:r>
    </w:p>
    <w:p>
      <w:pPr>
        <w:ind w:left="397" w:hanging="283"/>
      </w:pPr>
      <w:r>
        <w:t>3. Investigar técnicas no destructivas para SQLi sin mensajes de error y contrastarlas con casos negativos que produzcan fallos de aplicación no relacionados con SQL.</w:t>
      </w:r>
    </w:p>
    <w:p>
      <w:pPr>
        <w:ind w:left="397" w:hanging="283"/>
      </w:pPr>
      <w:r>
        <w:t>4. Diseñar una evaluación de usabilidad y rendimiento en PYMEs participantes bajo protocolo aprobado, sin extrapolar los resultados del laboratorio actual.</w:t>
      </w:r>
    </w:p>
    <w:p>
      <w:r>
        <w:br w:type="page"/>
      </w:r>
    </w:p>
    <w:p>
      <w:pPr>
        <w:pStyle w:val="Heading1"/>
      </w:pPr>
      <w:r>
        <w:t>Referencias bibliográficas</w:t>
      </w:r>
    </w:p>
    <w:p>
      <w:pPr>
        <w:ind w:left="397" w:hanging="283"/>
      </w:pPr>
      <w:r>
        <w:t xml:space="preserve">• Instituto Nacional de Estadística e Informática. (2022). </w:t>
      </w:r>
      <w:r>
        <w:rPr>
          <w:i/>
        </w:rPr>
        <w:t>Perú: Tecnologías de Información y Comunicación en las Empresas, 2019</w:t>
      </w:r>
      <w:r>
        <w:t>. https://www.inei.gob.pe/media/MenuRecursivo/publicaciones_digitales/Est/Lib1906/libro.pdf</w:t>
      </w:r>
    </w:p>
    <w:p>
      <w:pPr>
        <w:ind w:left="397" w:hanging="283"/>
      </w:pPr>
      <w:r>
        <w:t xml:space="preserve">• OWASP Foundation. (2021). </w:t>
      </w:r>
      <w:r>
        <w:rPr>
          <w:i/>
        </w:rPr>
        <w:t>OWASP Top 10: The Ten Most Critical Web Application Security Risks</w:t>
      </w:r>
      <w:r>
        <w:t>. https://owasp.org/www-project-top-ten/</w:t>
      </w:r>
    </w:p>
    <w:p>
      <w:pPr>
        <w:ind w:left="397" w:hanging="283"/>
      </w:pPr>
      <w:r>
        <w:t xml:space="preserve">• OWASP Foundation. (2020). </w:t>
      </w:r>
      <w:r>
        <w:rPr>
          <w:i/>
        </w:rPr>
        <w:t>OWASP Web Security Testing Guide</w:t>
      </w:r>
      <w:r>
        <w:t>, versión 4.2. https://wstg.owasp.org/v4.2/</w:t>
      </w:r>
    </w:p>
    <w:p>
      <w:pPr>
        <w:ind w:left="397" w:hanging="283"/>
      </w:pPr>
      <w:r>
        <w:t xml:space="preserve">• Peffers, K., Tuunanen, T., Rothenberger, M. A., &amp; Chatterjee, S. (2007). </w:t>
      </w:r>
      <w:r>
        <w:rPr>
          <w:i/>
        </w:rPr>
        <w:t>A design science research methodology for information systems research</w:t>
      </w:r>
      <w:r>
        <w:t>. Journal of Management Information Systems, 24(3), 45–77. https://doi.org/10.2753/MIS0742-1222240302</w:t>
      </w:r>
    </w:p>
    <w:p>
      <w:pPr>
        <w:ind w:left="397" w:hanging="283"/>
      </w:pPr>
      <w:r>
        <w:t xml:space="preserve">• Abualese, H., &amp; Al-Rousan, T. (2023). </w:t>
      </w:r>
      <w:r>
        <w:rPr>
          <w:i/>
        </w:rPr>
        <w:t>A comparative study of web application security scanners for vulnerability detection</w:t>
      </w:r>
      <w:r>
        <w:t>. i-manager's Journal on Software Engineering, 17(4). https://doi.org/10.26634/jse.17.4.19813</w:t>
      </w:r>
    </w:p>
    <w:p>
      <w:pPr>
        <w:ind w:left="397" w:hanging="283"/>
      </w:pPr>
      <w:r>
        <w:t xml:space="preserve">• Syarifudin, M., Widyawati, L., &amp; Asroni, O. (2025). </w:t>
      </w:r>
      <w:r>
        <w:rPr>
          <w:i/>
        </w:rPr>
        <w:t>Web Security Vulnerability Analysis and Mitigation Based on OWASP TOP 10</w:t>
      </w:r>
      <w:r>
        <w:t>. Journal of Artificial Intelligence and Engineering Applications (JAIEA), 4(3). https://doi.org/10.59934/jaiea.v4i3.1029</w:t>
      </w:r>
    </w:p>
    <w:p>
      <w:pPr>
        <w:ind w:left="397" w:hanging="283"/>
      </w:pPr>
      <w:r>
        <w:t xml:space="preserve">• Amankwah, R., Chen, J., Kudjo, P.K., &amp; Towey, D. (2020). </w:t>
      </w:r>
      <w:r>
        <w:rPr>
          <w:i/>
        </w:rPr>
        <w:t>An empirical comparison of commercial and open-source web vulnerability scanners</w:t>
      </w:r>
      <w:r>
        <w:t>. Software: Practice and Experience, 50(9). https://doi.org/10.1002/spe.2870</w:t>
      </w:r>
    </w:p>
    <w:p>
      <w:pPr>
        <w:ind w:left="397" w:hanging="283"/>
      </w:pPr>
      <w:r>
        <w:t xml:space="preserve">• Prabakar, M.A., Karthikeyan, M., &amp; Marimuthu, K. (2013). </w:t>
      </w:r>
      <w:r>
        <w:rPr>
          <w:i/>
        </w:rPr>
        <w:t>An efficient technique for preventing SQL injection attack using pattern matching algorithm</w:t>
      </w:r>
      <w:r>
        <w:t>. 2013 IEEE ICECCN. https://doi.org/10.1109/ICE-CCN.2013.6528551</w:t>
      </w:r>
    </w:p>
    <w:p>
      <w:pPr>
        <w:ind w:left="397" w:hanging="283"/>
      </w:pPr>
      <w:r>
        <w:t xml:space="preserve">• Aljebry, A.F., Alqahtani, Y.M., &amp; Sulaiman, N. (2022). </w:t>
      </w:r>
      <w:r>
        <w:rPr>
          <w:i/>
        </w:rPr>
        <w:t>Analyzing Security Testing Tools for Web Applications</w:t>
      </w:r>
      <w:r>
        <w:t>. Advances in Intelligent Systems and Computing. https://doi.org/10.1007/978-981-16-2594-7_34</w:t>
      </w:r>
    </w:p>
    <w:p>
      <w:r>
        <w:br w:type="page"/>
      </w:r>
    </w:p>
    <w:p>
      <w:pPr>
        <w:pStyle w:val="Heading1"/>
      </w:pPr>
      <w:r>
        <w:t>Anexos</w:t>
      </w:r>
    </w:p>
    <w:p>
      <w:pPr>
        <w:pStyle w:val="Heading2"/>
      </w:pPr>
      <w:r>
        <w:t>Anexo A. Reproducción del prototipo y del laboratorio</w:t>
      </w:r>
    </w:p>
    <w:p>
      <w:r>
        <w:t xml:space="preserve">El código se instala con </w:t>
      </w:r>
      <w:r>
        <w:rPr>
          <w:rFonts w:ascii="Consolas" w:hAnsi="Consolas"/>
          <w:sz w:val="18"/>
        </w:rPr>
        <w:t>poetry install</w:t>
      </w:r>
      <w:r>
        <w:t xml:space="preserve"> y se ejecuta con </w:t>
      </w:r>
      <w:r>
        <w:rPr>
          <w:rFonts w:ascii="Consolas" w:hAnsi="Consolas"/>
          <w:sz w:val="18"/>
        </w:rPr>
        <w:t>poetry run python -m scanner URL --format json</w:t>
      </w:r>
      <w:r>
        <w:t xml:space="preserve">. Para la corrida documentada se usó Python 3.12.0 en Windows. Los tres archivos </w:t>
      </w:r>
      <w:r>
        <w:rPr>
          <w:rFonts w:ascii="Consolas" w:hAnsi="Consolas"/>
          <w:sz w:val="18"/>
        </w:rPr>
        <w:t>docker/&lt;cms&gt;/docker-compose.yml</w:t>
      </w:r>
      <w:r>
        <w:t xml:space="preserve"> fijan puertos </w:t>
      </w:r>
      <w:r>
        <w:rPr>
          <w:rFonts w:ascii="Consolas" w:hAnsi="Consolas"/>
          <w:sz w:val="18"/>
        </w:rPr>
        <w:t>127.0.0.1:8081–8083</w:t>
      </w:r>
      <w:r>
        <w:t xml:space="preserve"> y montan </w:t>
      </w:r>
      <w:r>
        <w:rPr>
          <w:rFonts w:ascii="Consolas" w:hAnsi="Consolas"/>
          <w:sz w:val="18"/>
        </w:rPr>
        <w:t>docker/lab/scanner_case.php</w:t>
      </w:r>
      <w:r>
        <w:t xml:space="preserve"> en dos rutas de solo lectura. Se levantan por separado con </w:t>
      </w:r>
      <w:r>
        <w:rPr>
          <w:rFonts w:ascii="Consolas" w:hAnsi="Consolas"/>
          <w:sz w:val="18"/>
        </w:rPr>
        <w:t>docker compose up -d</w:t>
      </w:r>
      <w:r>
        <w:t xml:space="preserve"> en cada carpeta. WordPress se inicializa con </w:t>
      </w:r>
      <w:r>
        <w:rPr>
          <w:rFonts w:ascii="Consolas" w:hAnsi="Consolas"/>
          <w:sz w:val="18"/>
        </w:rPr>
        <w:t>.venv/Scripts/python.exe tests/experiment/install_wordpress.py</w:t>
      </w:r>
      <w:r>
        <w:t xml:space="preserve">; Joomla utiliza variables de instalación automática del contenedor oficial; Laravel se construye con </w:t>
      </w:r>
      <w:r>
        <w:rPr>
          <w:rFonts w:ascii="Consolas" w:hAnsi="Consolas"/>
          <w:sz w:val="18"/>
        </w:rPr>
        <w:t>docker compose up -d --build</w:t>
      </w:r>
      <w:r>
        <w:t xml:space="preserve"> y Composer instala Laravel 12 compatible con PHP 8.2. La ejecución no debe dirigirse a sitios de terceros.</w:t>
      </w:r>
    </w:p>
    <w:p>
      <w:r>
        <w:t xml:space="preserve">El instrumento de corridas es </w:t>
      </w:r>
      <w:r>
        <w:rPr>
          <w:rFonts w:ascii="Consolas" w:hAnsi="Consolas"/>
          <w:sz w:val="18"/>
        </w:rPr>
        <w:t>.venv/Scripts/python.exe tests/experiment/run_docker.py --repeticiones 5</w:t>
      </w:r>
      <w:r>
        <w:t xml:space="preserve">. Para recalcular: </w:t>
      </w:r>
      <w:r>
        <w:rPr>
          <w:rFonts w:ascii="Consolas" w:hAnsi="Consolas"/>
          <w:sz w:val="18"/>
        </w:rPr>
        <w:t>.venv/Scripts/python.exe tests/experiment/analyze_docker.py tests/results/20261013T191303Z --output resumen-recalculado.json</w:t>
      </w:r>
      <w:r>
        <w:t xml:space="preserve">. Los parámetros, etiquetas y reglas de agregación están en el manifiesto y en </w:t>
      </w:r>
      <w:r>
        <w:rPr>
          <w:rFonts w:ascii="Consolas" w:hAnsi="Consolas"/>
          <w:sz w:val="18"/>
        </w:rPr>
        <w:t>tests/experiment/README.md</w:t>
      </w:r>
      <w:r>
        <w:t xml:space="preserve">. </w:t>
      </w:r>
      <w:r>
        <w:rPr>
          <w:rFonts w:ascii="Consolas" w:hAnsi="Consolas"/>
          <w:sz w:val="18"/>
        </w:rPr>
        <w:t>tests/results/20261013T191303Z/docker-images.txt</w:t>
      </w:r>
      <w:r>
        <w:t xml:space="preserve"> contiene los identificadores SHA-256 de las imágenes de WordPress, Joomla, Laravel y MariaDB; </w:t>
      </w:r>
      <w:r>
        <w:rPr>
          <w:rFonts w:ascii="Consolas" w:hAnsi="Consolas"/>
          <w:sz w:val="18"/>
        </w:rPr>
        <w:t>pruebas.txt</w:t>
      </w:r>
      <w:r>
        <w:t xml:space="preserve"> contiene el resultado de la suite final. Los archivos de la carpeta </w:t>
      </w:r>
      <w:r>
        <w:rPr>
          <w:rFonts w:ascii="Consolas" w:hAnsi="Consolas"/>
          <w:sz w:val="18"/>
        </w:rPr>
        <w:t>20261013T191303Z</w:t>
      </w:r>
      <w:r>
        <w:t xml:space="preserve"> son parte integrante de este anexo.</w:t>
      </w:r>
    </w:p>
    <w:p>
      <w:pPr>
        <w:pStyle w:val="Heading2"/>
      </w:pPr>
      <w:r>
        <w:t>Anexo B. Instrumento y verdad de referencia</w:t>
      </w:r>
    </w:p>
    <w:tbl>
      <w:tblPr>
        <w:tblW w:type="auto" w:w="0"/>
        <w:tblLayout w:type="autofit"/>
        <w:tblLook w:firstColumn="1" w:firstRow="1" w:lastColumn="0" w:lastRow="0" w:noHBand="0" w:noVBand="1" w:val="04A0"/>
      </w:tblPr>
      <w:tblGrid>
        <w:gridCol w:w="1701"/>
        <w:gridCol w:w="1701"/>
        <w:gridCol w:w="1701"/>
        <w:gridCol w:w="1701"/>
        <w:gridCol w:w="1701"/>
      </w:tblGrid>
      <w:tr>
        <w:trPr>
          <w:tblHeader w:val="true"/>
          <w:cantSplit/>
        </w:trPr>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Caso por CMS</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 xml:space="preserve">Respuesta a </w:t>
            </w:r>
            <w:r>
              <w:rPr>
                <w:rFonts w:ascii="Consolas" w:hAnsi="Consolas"/>
                <w:b/>
                <w:sz w:val="16"/>
              </w:rPr>
              <w:t>q</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Consulta SQL</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Cabeceras</w:t>
            </w:r>
          </w:p>
        </w:tc>
        <w:tc>
          <w:tcPr>
            <w:tcW w:type="dxa" w:w="1701"/>
            <w:vAlign w:val="center"/>
            <w:shd w:fill="E6EBF0"/>
            <w:tcBorders>
              <w:top w:val="single" w:sz="4" w:color="D9D9D9"/>
              <w:left w:val="single" w:sz="4" w:color="D9D9D9"/>
              <w:bottom w:val="single" w:sz="4" w:color="D9D9D9"/>
              <w:right w:val="single" w:sz="4" w:color="D9D9D9"/>
            </w:tcBorders>
          </w:tcPr>
          <w:p>
            <w:pPr>
              <w:spacing w:after="40"/>
            </w:pPr>
            <w:r>
              <w:rPr>
                <w:b/>
                <w:sz w:val="16"/>
              </w:rPr>
            </w:r>
            <w:r>
              <w:rPr>
                <w:b/>
                <w:sz w:val="16"/>
              </w:rPr>
              <w:t>Etiquetas esperadas</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scanner-vulnerable.php?q=hola</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Salida HTML sin escape</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Concatenación de </w:t>
            </w:r>
            <w:r>
              <w:rPr>
                <w:rFonts w:ascii="Consolas" w:hAnsi="Consolas"/>
                <w:sz w:val="16"/>
              </w:rPr>
              <w:t>q</w:t>
            </w:r>
            <w:r>
              <w:rPr>
                <w:sz w:val="16"/>
              </w:rPr>
              <w:t xml:space="preserve"> en </w:t>
            </w:r>
            <w:r>
              <w:rPr>
                <w:rFonts w:ascii="Consolas" w:hAnsi="Consolas"/>
                <w:sz w:val="16"/>
              </w:rPr>
              <w:t>SELECT 1</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CSP, protección de embebido y </w:t>
            </w:r>
            <w:r>
              <w:rPr>
                <w:rFonts w:ascii="Consolas" w:hAnsi="Consolas"/>
                <w:sz w:val="16"/>
              </w:rPr>
              <w:t>nosniff</w:t>
            </w:r>
            <w:r>
              <w:rPr>
                <w:sz w:val="16"/>
              </w:rPr>
              <w:t xml:space="preserve"> ausentes</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XSS-REFLEJO-INDICATIVO</w:t>
            </w:r>
            <w:r>
              <w:rPr>
                <w:sz w:val="16"/>
              </w:rPr>
              <w:t xml:space="preserve">, </w:t>
            </w:r>
            <w:r>
              <w:rPr>
                <w:rFonts w:ascii="Consolas" w:hAnsi="Consolas"/>
                <w:sz w:val="16"/>
              </w:rPr>
              <w:t>SQLI-ERROR-INDICATIVO</w:t>
            </w:r>
            <w:r>
              <w:rPr>
                <w:sz w:val="16"/>
              </w:rPr>
              <w:t xml:space="preserve">, </w:t>
            </w:r>
            <w:r>
              <w:rPr>
                <w:rFonts w:ascii="Consolas" w:hAnsi="Consolas"/>
                <w:sz w:val="16"/>
              </w:rPr>
              <w:t>HEADER-CSP</w:t>
            </w:r>
            <w:r>
              <w:rPr>
                <w:sz w:val="16"/>
              </w:rPr>
              <w:t xml:space="preserve">, </w:t>
            </w:r>
            <w:r>
              <w:rPr>
                <w:rFonts w:ascii="Consolas" w:hAnsi="Consolas"/>
                <w:sz w:val="16"/>
              </w:rPr>
              <w:t>HEADER-FRAME</w:t>
            </w:r>
            <w:r>
              <w:rPr>
                <w:sz w:val="16"/>
              </w:rPr>
              <w:t xml:space="preserve">, </w:t>
            </w:r>
            <w:r>
              <w:rPr>
                <w:rFonts w:ascii="Consolas" w:hAnsi="Consolas"/>
                <w:sz w:val="16"/>
              </w:rPr>
              <w:t>HEADER-NOSNIFF</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rFonts w:ascii="Consolas" w:hAnsi="Consolas"/>
                <w:sz w:val="16"/>
              </w:rPr>
              <w:t>scanner-safe.php?q=hola</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HTML codificado</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Consulta parametrizada</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CSP con </w:t>
            </w:r>
            <w:r>
              <w:rPr>
                <w:rFonts w:ascii="Consolas" w:hAnsi="Consolas"/>
                <w:sz w:val="16"/>
              </w:rPr>
              <w:t>frame-ancestors</w:t>
            </w:r>
            <w:r>
              <w:rPr>
                <w:sz w:val="16"/>
              </w:rPr>
              <w:t xml:space="preserve"> y </w:t>
            </w:r>
            <w:r>
              <w:rPr>
                <w:rFonts w:ascii="Consolas" w:hAnsi="Consolas"/>
                <w:sz w:val="16"/>
              </w:rPr>
              <w:t>nosniff</w:t>
            </w:r>
            <w:r>
              <w:rPr>
                <w:sz w:val="16"/>
              </w:rPr>
              <w:t xml:space="preserve"> presentes</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Ninguna de esas cinco señales</w:t>
            </w:r>
          </w:p>
        </w:tc>
      </w:tr>
      <w:tr>
        <w:trPr>
          <w:cantSplit/>
        </w:trPr>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 xml:space="preserve">Página principal </w:t>
            </w:r>
            <w:r>
              <w:rPr>
                <w:rFonts w:ascii="Consolas" w:hAnsi="Consolas"/>
                <w:sz w:val="16"/>
              </w:rPr>
              <w:t>/</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Instalación estándar local</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No se sondea SQL</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No entra al conteo de seguridad</w:t>
            </w:r>
          </w:p>
        </w:tc>
        <w:tc>
          <w:tcPr>
            <w:tcW w:type="dxa" w:w="1701"/>
            <w:vAlign w:val="center"/>
            <w:tcBorders>
              <w:top w:val="single" w:sz="4" w:color="D9D9D9"/>
              <w:left w:val="single" w:sz="4" w:color="D9D9D9"/>
              <w:bottom w:val="single" w:sz="4" w:color="D9D9D9"/>
              <w:right w:val="single" w:sz="4" w:color="D9D9D9"/>
            </w:tcBorders>
          </w:tcPr>
          <w:p>
            <w:pPr>
              <w:spacing w:after="40"/>
            </w:pPr>
            <w:r>
              <w:rPr>
                <w:sz w:val="16"/>
              </w:rPr>
            </w:r>
            <w:r>
              <w:rPr>
                <w:sz w:val="16"/>
              </w:rPr>
              <w:t>WordPress, Joomla o Laravel según contenedor</w:t>
            </w:r>
          </w:p>
        </w:tc>
      </w:tr>
    </w:tbl>
    <w:p>
      <w:r>
        <w:t>El mismo archivo PHP se montó en los tres entornos, de modo que la diversidad de casos de seguridad es limitada aunque haya tres CMS. La etiqueta positiva de XSS se refiere al reflejo sin codificar en HTML, no a ejecución demostrada en un navegador. La etiqueta SQLi proviene de una consulta SQL real de solo lectura que produce un error de sintaxis ante comillas, no de una simulación textual del error.</w:t>
      </w:r>
    </w:p>
    <w:p>
      <w:pPr>
        <w:pStyle w:val="Heading2"/>
      </w:pPr>
      <w:r>
        <w:t>Anexo C. Límites de lectura y trazabilidad</w:t>
      </w:r>
    </w:p>
    <w:p>
      <w:r>
        <w:rPr>
          <w:rFonts w:ascii="Consolas" w:hAnsi="Consolas"/>
          <w:sz w:val="18"/>
        </w:rPr>
        <w:t>tests/results/20261013T191200Z</w:t>
      </w:r>
      <w:r>
        <w:t xml:space="preserve"> registra un intento abortado por codificación y </w:t>
      </w:r>
      <w:r>
        <w:rPr>
          <w:rFonts w:ascii="Consolas" w:hAnsi="Consolas"/>
          <w:sz w:val="18"/>
        </w:rPr>
        <w:t>20261013T191209Z</w:t>
      </w:r>
      <w:r>
        <w:t xml:space="preserve"> una corrida piloto; ambos se conservan y se excluyen del capítulo 6. Las cinco repeticiones de un caso comparten código y objetivo, por lo que no son muestras independientes. La bibliografía y el historial de fuentes descartadas están en </w:t>
      </w:r>
      <w:r>
        <w:rPr>
          <w:rFonts w:ascii="Consolas" w:hAnsi="Consolas"/>
          <w:sz w:val="18"/>
        </w:rPr>
        <w:t>docs/referencias.bib</w:t>
      </w:r>
      <w:r>
        <w:t xml:space="preserve"> y </w:t>
      </w:r>
      <w:r>
        <w:rPr>
          <w:rFonts w:ascii="Consolas" w:hAnsi="Consolas"/>
          <w:sz w:val="18"/>
        </w:rPr>
        <w:t>docs/notas-verificacion.md</w:t>
      </w:r>
      <w:r>
        <w:t xml:space="preserve">; los pendientes por capítulo, en </w:t>
      </w:r>
      <w:r>
        <w:rPr>
          <w:rFonts w:ascii="Consolas" w:hAnsi="Consolas"/>
          <w:sz w:val="18"/>
        </w:rPr>
        <w:t>docs/matriz-brechas.md</w:t>
      </w:r>
      <w:r>
        <w:t>. La revisión con PYMEs, el formato institucional final, firmas y aprobación de asesoría aún requieren intervención externa.</w:t>
      </w:r>
    </w:p>
    <w:p>
      <w:pPr>
        <w:pStyle w:val="Heading2"/>
      </w:pPr>
      <w:r>
        <w:t>Anexo D. Tabla completa de corridas</w:t>
      </w:r>
    </w:p>
    <w:p>
      <w:r>
        <w:t xml:space="preserve">La tabla siguiente se generó directamente de </w:t>
      </w:r>
      <w:r>
        <w:rPr>
          <w:rFonts w:ascii="Consolas" w:hAnsi="Consolas"/>
          <w:sz w:val="18"/>
        </w:rPr>
        <w:t>runs.jsonl</w:t>
      </w:r>
      <w:r>
        <w:t>. Las abreviaturas CSP, FRAME y NOSNIFF indican ausencia de esas protecciones; XSS y SQLI son las señales indicativas descritas en 5.2.2. La columna de señales resume la salida sin sustituir el JSON crudo, que conserva evidencia, recomendaciones, tiempo y memoria de cada ejecución.</w:t>
      </w:r>
    </w:p>
    <w:tbl>
      <w:tblPr>
        <w:tblW w:type="auto" w:w="0"/>
        <w:tblLayout w:type="autofit"/>
        <w:tblLook w:firstColumn="1" w:firstRow="1" w:lastColumn="0" w:lastRow="0" w:noHBand="0" w:noVBand="1" w:val="04A0"/>
      </w:tblPr>
      <w:tblGrid>
        <w:gridCol w:w="1417"/>
        <w:gridCol w:w="1417"/>
        <w:gridCol w:w="1417"/>
        <w:gridCol w:w="1417"/>
        <w:gridCol w:w="1417"/>
        <w:gridCol w:w="1417"/>
      </w:tblGrid>
      <w:tr>
        <w:trPr>
          <w:tblHeader w:val="true"/>
          <w:cantSplit/>
        </w:trPr>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Caso</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Rep.</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HTTP</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Señales / CMS</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Tiempo (s)</w:t>
            </w:r>
          </w:p>
        </w:tc>
        <w:tc>
          <w:tcPr>
            <w:tcW w:type="dxa" w:w="1417"/>
            <w:vAlign w:val="center"/>
            <w:shd w:fill="E6EBF0"/>
            <w:tcBorders>
              <w:top w:val="single" w:sz="4" w:color="D9D9D9"/>
              <w:left w:val="single" w:sz="4" w:color="D9D9D9"/>
              <w:bottom w:val="single" w:sz="4" w:color="D9D9D9"/>
              <w:right w:val="single" w:sz="4" w:color="D9D9D9"/>
            </w:tcBorders>
          </w:tcPr>
          <w:p>
            <w:pPr>
              <w:spacing w:after="0" w:line="240" w:lineRule="auto"/>
            </w:pPr>
            <w:r>
              <w:rPr>
                <w:b/>
                <w:sz w:val="15"/>
              </w:rPr>
            </w:r>
            <w:r>
              <w:rPr>
                <w:b/>
                <w:sz w:val="15"/>
              </w:rPr>
              <w:t>Pico (MiB)</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0.0306</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0.0915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0.0419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0.0336</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0.0443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0.0192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0.0437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0.0228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0.0215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0.0290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0.0721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30.63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0.1151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0.1541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30.67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0.0944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30.70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WordPress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0.0741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30.66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0.0271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0.0312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0.0259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0.0255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0.0481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0.0418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0.0169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0.0399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0.0182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0.0952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0.0741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0.0454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0.0509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30.22</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0.0508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Joomla</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0.0620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0.0253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30.20</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0.0492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30.34</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0.0237</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30.21</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0.0468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laravel-vulnerable</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CSP, FRAME, NOSNIFF, XSS, SQLI</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0.0331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30.27</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0.0268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0.0342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30.33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0.0193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0.0181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30.19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laravel-seguro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ninguno</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0.0311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30.29</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1</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0.0558</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30.46</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0.0203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30.43</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0.0345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30.45</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0.0429</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30.48</w:t>
            </w:r>
          </w:p>
        </w:tc>
      </w:tr>
      <w:tr>
        <w:trPr>
          <w:cantSplit/>
        </w:trPr>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laravel-cms</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5</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200</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Laravel</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0.0434</w:t>
            </w:r>
          </w:p>
        </w:tc>
        <w:tc>
          <w:tcPr>
            <w:tcW w:type="dxa" w:w="1417"/>
            <w:vAlign w:val="center"/>
            <w:tcBorders>
              <w:top w:val="single" w:sz="4" w:color="D9D9D9"/>
              <w:left w:val="single" w:sz="4" w:color="D9D9D9"/>
              <w:bottom w:val="single" w:sz="4" w:color="D9D9D9"/>
              <w:right w:val="single" w:sz="4" w:color="D9D9D9"/>
            </w:tcBorders>
          </w:tcPr>
          <w:p>
            <w:pPr>
              <w:spacing w:after="0" w:line="240" w:lineRule="auto"/>
            </w:pPr>
            <w:r>
              <w:rPr>
                <w:sz w:val="15"/>
              </w:rPr>
            </w:r>
            <w:r>
              <w:rPr>
                <w:sz w:val="15"/>
              </w:rPr>
              <w:t>30.52</w:t>
            </w:r>
          </w:p>
        </w:tc>
      </w:tr>
    </w:tbl>
    <w:sectPr w:rsidR="00103944">
      <w:footerReference w:type="default" r:id="rI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3A"/>
    <w:rsid w:val="00103944"/>
    <w:rsid w:val="00207D6C"/>
    <w:rsid w:val="002167EE"/>
    <w:rsid w:val="002B773A"/>
    <w:rsid w:val="00466281"/>
    <w:rsid w:val="00496015"/>
    <w:rsid w:val="004E70E2"/>
    <w:rsid w:val="005302B9"/>
    <w:rsid w:val="00774C87"/>
    <w:rsid w:val="008420A9"/>
    <w:rsid w:val="00980174"/>
    <w:rsid w:val="00CA4F98"/>
    <w:rsid w:val="00D910E6"/>
    <w:rsid w:val="00EE2A65"/>
    <w:rsid w:val="00EF02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A68D2"/>
  <w15:chartTrackingRefBased/>
  <w15:docId w15:val="{AA818B87-2D25-4300-A1A4-2496C0F957D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73A"/>
    <w:pPr>
      <w:spacing w:line="360" w:lineRule="auto" w:after="120"/>
    </w:pPr>
    <w:rPr>
      <w:rFonts w:ascii="Times New Roman" w:hAnsi="Times New Roman"/>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le">
    <w:name w:val="Title"/>
    <w:pPr>
      <w:keepNext/>
      <w:spacing w:before="240" w:after="120"/>
    </w:pPr>
    <w:rPr>
      <w:rFonts w:ascii="Times New Roman" w:hAnsi="Times New Roman"/>
      <w:b/>
      <w:color w:val="000000"/>
      <w:sz w:val="32"/>
    </w:rPr>
  </w:style>
  <w:style w:type="paragraph" w:customStyle="1" w:styleId="Heading1">
    <w:name w:val="heading 1"/>
    <w:pPr>
      <w:keepNext/>
      <w:spacing w:before="240" w:after="120"/>
      <w:outlineLvl w:val="0"/>
    </w:pPr>
    <w:rPr>
      <w:rFonts w:ascii="Times New Roman" w:hAnsi="Times New Roman"/>
      <w:b/>
      <w:color w:val="000000"/>
      <w:sz w:val="28"/>
    </w:rPr>
  </w:style>
  <w:style w:type="paragraph" w:customStyle="1" w:styleId="Heading2">
    <w:name w:val="heading 2"/>
    <w:pPr>
      <w:keepNext/>
      <w:spacing w:before="240" w:after="120"/>
      <w:outlineLvl w:val="1"/>
    </w:pPr>
    <w:rPr>
      <w:rFonts w:ascii="Times New Roman" w:hAnsi="Times New Roman"/>
      <w:b/>
      <w:color w:val="000000"/>
      <w:sz w:val="24"/>
    </w:rPr>
  </w:style>
  <w:style w:type="paragraph" w:customStyle="1" w:styleId="Heading3">
    <w:name w:val="heading 3"/>
    <w:pPr>
      <w:keepNext/>
      <w:spacing w:before="240" w:after="120"/>
      <w:outlineLvl w:val="2"/>
    </w:pPr>
    <w:rPr>
      <w:rFonts w:ascii="Times New Roman" w:hAnsi="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2</Pages>
  <Words>352</Words>
  <Characters>1942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Navarro Depaz</dc:creator>
  <cp:keywords/>
  <dc:description/>
  <cp:lastModifiedBy>USER</cp:lastModifiedBy>
  <cp:revision>11</cp:revision>
  <dcterms:created xsi:type="dcterms:W3CDTF">2020-08-17T21:23:00Z</dcterms:created>
  <dcterms:modified xsi:type="dcterms:W3CDTF">2025-10-25T01:22:00Z</dcterms:modified>
</cp:coreProperties>
</file>