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AF2330"/>
          <w:sz w:val="28"/>
        </w:rPr>
        <w:t>VANQUEST</w:t>
      </w:r>
    </w:p>
    <w:p>
      <w:pPr>
        <w:pStyle w:val="Title"/>
        <w:jc w:val="center"/>
      </w:pPr>
      <w:r>
        <w:t>Core Course 03</w:t>
        <w:br/>
        <w:t>Understanding Investing</w:t>
      </w:r>
    </w:p>
    <w:p>
      <w:pPr>
        <w:jc w:val="center"/>
      </w:pPr>
      <w:r>
        <w:rPr>
          <w:i/>
          <w:sz w:val="24"/>
        </w:rPr>
        <w:t>A foundational learning guide for Grades 11–12</w:t>
      </w:r>
    </w:p>
    <w:p>
      <w:r>
        <w:t>Course purpose: Help students understand what investing is, how common investment products work, why risk and return are connected, and how long-term decisions differ from speculation. The course teaches concepts and decision-making; it does not recommend particular investments.</w:t>
      </w:r>
    </w:p>
    <w:p>
      <w:pPr>
        <w:pStyle w:val="Heading1"/>
      </w:pPr>
      <w:r>
        <w:t>Course Overview</w:t>
      </w:r>
    </w:p>
    <w:p>
      <w:r>
        <w:t>Investing means putting money into an asset with the expectation that it may grow in value or generate income over time. Unlike a bank balance, the value of an investment can rise or fall. Returns are uncertain, and students should understand both potential gains and possible losses before evaluating an investment.</w:t>
      </w:r>
    </w:p>
    <w:tbl>
      <w:tblPr>
        <w:tblStyle w:val="LightShading-Accent1"/>
        <w:tblW w:type="auto" w:w="0"/>
        <w:tblLook w:firstColumn="1" w:firstRow="1" w:lastColumn="0" w:lastRow="0" w:noHBand="0" w:noVBand="1" w:val="04A0"/>
      </w:tblPr>
      <w:tblGrid>
        <w:gridCol w:w="4968"/>
        <w:gridCol w:w="4968"/>
      </w:tblGrid>
      <w:tr>
        <w:tc>
          <w:tcPr>
            <w:tcW w:type="dxa" w:w="4968"/>
            <w:shd w:fill="C9D9EC"/>
          </w:tcPr>
          <w:p>
            <w:r/>
            <w:r>
              <w:rPr>
                <w:rFonts w:ascii="Aptos" w:hAnsi="Aptos"/>
                <w:b/>
                <w:sz w:val="18"/>
              </w:rPr>
              <w:t>Course element</w:t>
            </w:r>
          </w:p>
        </w:tc>
        <w:tc>
          <w:tcPr>
            <w:tcW w:type="dxa" w:w="4968"/>
            <w:shd w:fill="C9D9EC"/>
          </w:tcPr>
          <w:p>
            <w:r/>
            <w:r>
              <w:rPr>
                <w:rFonts w:ascii="Aptos" w:hAnsi="Aptos"/>
                <w:b/>
                <w:sz w:val="18"/>
              </w:rPr>
              <w:t>Description</w:t>
            </w:r>
          </w:p>
        </w:tc>
      </w:tr>
      <w:tr>
        <w:tc>
          <w:tcPr>
            <w:tcW w:type="dxa" w:w="4968"/>
          </w:tcPr>
          <w:p>
            <w:r/>
            <w:r>
              <w:rPr>
                <w:rFonts w:ascii="Aptos" w:hAnsi="Aptos"/>
                <w:b w:val="0"/>
                <w:sz w:val="18"/>
              </w:rPr>
              <w:t>Audience</w:t>
            </w:r>
          </w:p>
        </w:tc>
        <w:tc>
          <w:tcPr>
            <w:tcW w:type="dxa" w:w="4968"/>
          </w:tcPr>
          <w:p>
            <w:r/>
            <w:r>
              <w:rPr>
                <w:rFonts w:ascii="Aptos" w:hAnsi="Aptos"/>
                <w:b w:val="0"/>
                <w:sz w:val="18"/>
              </w:rPr>
              <w:t>Grades 11–12; introductory level</w:t>
            </w:r>
          </w:p>
        </w:tc>
      </w:tr>
      <w:tr>
        <w:tc>
          <w:tcPr>
            <w:tcW w:type="dxa" w:w="4968"/>
          </w:tcPr>
          <w:p>
            <w:r/>
            <w:r>
              <w:rPr>
                <w:rFonts w:ascii="Aptos" w:hAnsi="Aptos"/>
                <w:b w:val="0"/>
                <w:sz w:val="18"/>
              </w:rPr>
              <w:t>Estimated learning time</w:t>
            </w:r>
          </w:p>
        </w:tc>
        <w:tc>
          <w:tcPr>
            <w:tcW w:type="dxa" w:w="4968"/>
          </w:tcPr>
          <w:p>
            <w:r/>
            <w:r>
              <w:rPr>
                <w:rFonts w:ascii="Aptos" w:hAnsi="Aptos"/>
                <w:b w:val="0"/>
                <w:sz w:val="18"/>
              </w:rPr>
              <w:t>3–4 classroom hours, or several short game missions</w:t>
            </w:r>
          </w:p>
        </w:tc>
      </w:tr>
      <w:tr>
        <w:tc>
          <w:tcPr>
            <w:tcW w:type="dxa" w:w="4968"/>
          </w:tcPr>
          <w:p>
            <w:r/>
            <w:r>
              <w:rPr>
                <w:rFonts w:ascii="Aptos" w:hAnsi="Aptos"/>
                <w:b w:val="0"/>
                <w:sz w:val="18"/>
              </w:rPr>
              <w:t>Prerequisites</w:t>
            </w:r>
          </w:p>
        </w:tc>
        <w:tc>
          <w:tcPr>
            <w:tcW w:type="dxa" w:w="4968"/>
          </w:tcPr>
          <w:p>
            <w:r/>
            <w:r>
              <w:rPr>
                <w:rFonts w:ascii="Aptos" w:hAnsi="Aptos"/>
                <w:b w:val="0"/>
                <w:sz w:val="18"/>
              </w:rPr>
              <w:t>Basic arithmetic, percentages, and the ideas of saving and financial goals</w:t>
            </w:r>
          </w:p>
        </w:tc>
      </w:tr>
      <w:tr>
        <w:tc>
          <w:tcPr>
            <w:tcW w:type="dxa" w:w="4968"/>
          </w:tcPr>
          <w:p>
            <w:r/>
            <w:r>
              <w:rPr>
                <w:rFonts w:ascii="Aptos" w:hAnsi="Aptos"/>
                <w:b w:val="0"/>
                <w:sz w:val="18"/>
              </w:rPr>
              <w:t>Core themes</w:t>
            </w:r>
          </w:p>
        </w:tc>
        <w:tc>
          <w:tcPr>
            <w:tcW w:type="dxa" w:w="4968"/>
          </w:tcPr>
          <w:p>
            <w:r/>
            <w:r>
              <w:rPr>
                <w:rFonts w:ascii="Aptos" w:hAnsi="Aptos"/>
                <w:b w:val="0"/>
                <w:sz w:val="18"/>
              </w:rPr>
              <w:t>Goals, risk and return, investment types, diversification, costs, compounding, time horizon, market behaviour, and disciplined decision-making</w:t>
            </w:r>
          </w:p>
        </w:tc>
      </w:tr>
      <w:tr>
        <w:tc>
          <w:tcPr>
            <w:tcW w:type="dxa" w:w="4968"/>
          </w:tcPr>
          <w:p>
            <w:r/>
            <w:r>
              <w:rPr>
                <w:rFonts w:ascii="Aptos" w:hAnsi="Aptos"/>
                <w:b w:val="0"/>
                <w:sz w:val="18"/>
              </w:rPr>
              <w:t>VanQuest game output</w:t>
            </w:r>
          </w:p>
        </w:tc>
        <w:tc>
          <w:tcPr>
            <w:tcW w:type="dxa" w:w="4968"/>
          </w:tcPr>
          <w:p>
            <w:r/>
            <w:r>
              <w:rPr>
                <w:rFonts w:ascii="Aptos" w:hAnsi="Aptos"/>
                <w:b w:val="0"/>
                <w:sz w:val="18"/>
              </w:rPr>
              <w:t>A fictional portfolio, a written decision rationale, and a post-simulation reflection</w:t>
            </w:r>
          </w:p>
        </w:tc>
      </w:tr>
    </w:tbl>
    <w:p/>
    <w:p>
      <w:pPr>
        <w:pStyle w:val="Heading2"/>
      </w:pPr>
      <w:r>
        <w:t>Learning Outcomes</w:t>
      </w:r>
    </w:p>
    <w:p>
      <w:pPr>
        <w:pStyle w:val="ListBullet"/>
      </w:pPr>
      <w:r>
        <w:t>Explain the difference between saving and investing.</w:t>
      </w:r>
    </w:p>
    <w:p>
      <w:pPr>
        <w:pStyle w:val="ListBullet"/>
      </w:pPr>
      <w:r>
        <w:t>Describe stocks, bonds, mutual funds, exchange-traded funds (ETFs), and cash-like products at a basic level.</w:t>
      </w:r>
    </w:p>
    <w:p>
      <w:pPr>
        <w:pStyle w:val="ListBullet"/>
      </w:pPr>
      <w:r>
        <w:t>Calculate a simple percentage return and recognise that a negative return is possible.</w:t>
      </w:r>
    </w:p>
    <w:p>
      <w:pPr>
        <w:pStyle w:val="ListBullet"/>
      </w:pPr>
      <w:r>
        <w:t>Explain risk, return, volatility, diversification, asset allocation, and time horizon.</w:t>
      </w:r>
    </w:p>
    <w:p>
      <w:pPr>
        <w:pStyle w:val="ListBullet"/>
      </w:pPr>
      <w:r>
        <w:t>Identify how fees can reduce investment outcomes.</w:t>
      </w:r>
    </w:p>
    <w:p>
      <w:pPr>
        <w:pStyle w:val="ListBullet"/>
      </w:pPr>
      <w:r>
        <w:t>Explain compounding without assuming that a fixed rate of return is guaranteed.</w:t>
      </w:r>
    </w:p>
    <w:p>
      <w:pPr>
        <w:pStyle w:val="ListBullet"/>
      </w:pPr>
      <w:r>
        <w:t>Read a simplified price chart and distinguish historical movement from a prediction.</w:t>
      </w:r>
    </w:p>
    <w:p>
      <w:pPr>
        <w:pStyle w:val="ListBullet"/>
      </w:pPr>
      <w:r>
        <w:t>Make a hypothetical investment decision based on a stated goal, time horizon, risk capacity, costs, and diversification—not hype or guaranteed-profit claims.</w:t>
      </w:r>
    </w:p>
    <w:p>
      <w:pPr>
        <w:pStyle w:val="Heading1"/>
      </w:pPr>
      <w:r>
        <w:t>Important Learning and Safety Rule</w:t>
      </w:r>
    </w:p>
    <w:p>
      <w:r>
        <w:t>All portfolio activities in this guide are fictional educational simulations. They are not personal financial advice, a recommendation to buy or sell a product, or a promise of future returns. No investment is guaranteed to grow. A historical chart cannot reliably predict what will happen next. Students must not be asked to reveal family income, bank balances, debts, account details, or actual investments.</w:t>
      </w:r>
    </w:p>
    <w:p>
      <w:pPr>
        <w:pStyle w:val="Heading1"/>
      </w:pPr>
      <w:r>
        <w:t>Topic 1 — Saving and Investing Are Different</w:t>
      </w:r>
    </w:p>
    <w:p>
      <w:r>
        <w:t>Saving is setting money aside for a goal or for unexpected needs, usually in a relatively accessible place such as a savings account. Investing is buying an asset whose value or income may change over time. Saving generally prioritises access and stability; investing accepts uncertainty in pursuit of potential long-term growth.</w:t>
      </w:r>
    </w:p>
    <w:tbl>
      <w:tblPr>
        <w:tblStyle w:val="LightShading-Accent1"/>
        <w:tblW w:type="auto" w:w="0"/>
        <w:tblLook w:firstColumn="1" w:firstRow="1" w:lastColumn="0" w:lastRow="0" w:noHBand="0" w:noVBand="1" w:val="04A0"/>
      </w:tblPr>
      <w:tblGrid>
        <w:gridCol w:w="3312"/>
        <w:gridCol w:w="3312"/>
        <w:gridCol w:w="3312"/>
      </w:tblGrid>
      <w:tr>
        <w:tc>
          <w:tcPr>
            <w:tcW w:type="dxa" w:w="3312"/>
            <w:shd w:fill="C9D9EC"/>
          </w:tcPr>
          <w:p>
            <w:r/>
            <w:r>
              <w:rPr>
                <w:rFonts w:ascii="Aptos" w:hAnsi="Aptos"/>
                <w:b/>
                <w:sz w:val="18"/>
              </w:rPr>
              <w:t>Question</w:t>
            </w:r>
          </w:p>
        </w:tc>
        <w:tc>
          <w:tcPr>
            <w:tcW w:type="dxa" w:w="3312"/>
            <w:shd w:fill="C9D9EC"/>
          </w:tcPr>
          <w:p>
            <w:r/>
            <w:r>
              <w:rPr>
                <w:rFonts w:ascii="Aptos" w:hAnsi="Aptos"/>
                <w:b/>
                <w:sz w:val="18"/>
              </w:rPr>
              <w:t>Saving</w:t>
            </w:r>
          </w:p>
        </w:tc>
        <w:tc>
          <w:tcPr>
            <w:tcW w:type="dxa" w:w="3312"/>
            <w:shd w:fill="C9D9EC"/>
          </w:tcPr>
          <w:p>
            <w:r/>
            <w:r>
              <w:rPr>
                <w:rFonts w:ascii="Aptos" w:hAnsi="Aptos"/>
                <w:b/>
                <w:sz w:val="18"/>
              </w:rPr>
              <w:t>Investing</w:t>
            </w:r>
          </w:p>
        </w:tc>
      </w:tr>
      <w:tr>
        <w:tc>
          <w:tcPr>
            <w:tcW w:type="dxa" w:w="3312"/>
          </w:tcPr>
          <w:p>
            <w:r/>
            <w:r>
              <w:rPr>
                <w:rFonts w:ascii="Aptos" w:hAnsi="Aptos"/>
                <w:b w:val="0"/>
                <w:sz w:val="18"/>
              </w:rPr>
              <w:t>Main purpose</w:t>
            </w:r>
          </w:p>
        </w:tc>
        <w:tc>
          <w:tcPr>
            <w:tcW w:type="dxa" w:w="3312"/>
          </w:tcPr>
          <w:p>
            <w:r/>
            <w:r>
              <w:rPr>
                <w:rFonts w:ascii="Aptos" w:hAnsi="Aptos"/>
                <w:b w:val="0"/>
                <w:sz w:val="18"/>
              </w:rPr>
              <w:t>Keep money available and support near-term goals</w:t>
            </w:r>
          </w:p>
        </w:tc>
        <w:tc>
          <w:tcPr>
            <w:tcW w:type="dxa" w:w="3312"/>
          </w:tcPr>
          <w:p>
            <w:r/>
            <w:r>
              <w:rPr>
                <w:rFonts w:ascii="Aptos" w:hAnsi="Aptos"/>
                <w:b w:val="0"/>
                <w:sz w:val="18"/>
              </w:rPr>
              <w:t>Seek growth or income over a longer period</w:t>
            </w:r>
          </w:p>
        </w:tc>
      </w:tr>
      <w:tr>
        <w:tc>
          <w:tcPr>
            <w:tcW w:type="dxa" w:w="3312"/>
          </w:tcPr>
          <w:p>
            <w:r/>
            <w:r>
              <w:rPr>
                <w:rFonts w:ascii="Aptos" w:hAnsi="Aptos"/>
                <w:b w:val="0"/>
                <w:sz w:val="18"/>
              </w:rPr>
              <w:t>Value</w:t>
            </w:r>
          </w:p>
        </w:tc>
        <w:tc>
          <w:tcPr>
            <w:tcW w:type="dxa" w:w="3312"/>
          </w:tcPr>
          <w:p>
            <w:r/>
            <w:r>
              <w:rPr>
                <w:rFonts w:ascii="Aptos" w:hAnsi="Aptos"/>
                <w:b w:val="0"/>
                <w:sz w:val="18"/>
              </w:rPr>
              <w:t>Usually more stable, subject to the product and institution</w:t>
            </w:r>
          </w:p>
        </w:tc>
        <w:tc>
          <w:tcPr>
            <w:tcW w:type="dxa" w:w="3312"/>
          </w:tcPr>
          <w:p>
            <w:r/>
            <w:r>
              <w:rPr>
                <w:rFonts w:ascii="Aptos" w:hAnsi="Aptos"/>
                <w:b w:val="0"/>
                <w:sz w:val="18"/>
              </w:rPr>
              <w:t>Can rise or fall</w:t>
            </w:r>
          </w:p>
        </w:tc>
      </w:tr>
      <w:tr>
        <w:tc>
          <w:tcPr>
            <w:tcW w:type="dxa" w:w="3312"/>
          </w:tcPr>
          <w:p>
            <w:r/>
            <w:r>
              <w:rPr>
                <w:rFonts w:ascii="Aptos" w:hAnsi="Aptos"/>
                <w:b w:val="0"/>
                <w:sz w:val="18"/>
              </w:rPr>
              <w:t>Access</w:t>
            </w:r>
          </w:p>
        </w:tc>
        <w:tc>
          <w:tcPr>
            <w:tcW w:type="dxa" w:w="3312"/>
          </w:tcPr>
          <w:p>
            <w:r/>
            <w:r>
              <w:rPr>
                <w:rFonts w:ascii="Aptos" w:hAnsi="Aptos"/>
                <w:b w:val="0"/>
                <w:sz w:val="18"/>
              </w:rPr>
              <w:t>Often easy to access, though rules may apply</w:t>
            </w:r>
          </w:p>
        </w:tc>
        <w:tc>
          <w:tcPr>
            <w:tcW w:type="dxa" w:w="3312"/>
          </w:tcPr>
          <w:p>
            <w:r/>
            <w:r>
              <w:rPr>
                <w:rFonts w:ascii="Aptos" w:hAnsi="Aptos"/>
                <w:b w:val="0"/>
                <w:sz w:val="18"/>
              </w:rPr>
              <w:t>Selling may take time; price may be lower than purchase price</w:t>
            </w:r>
          </w:p>
        </w:tc>
      </w:tr>
      <w:tr>
        <w:tc>
          <w:tcPr>
            <w:tcW w:type="dxa" w:w="3312"/>
          </w:tcPr>
          <w:p>
            <w:r/>
            <w:r>
              <w:rPr>
                <w:rFonts w:ascii="Aptos" w:hAnsi="Aptos"/>
                <w:b w:val="0"/>
                <w:sz w:val="18"/>
              </w:rPr>
              <w:t>Common examples</w:t>
            </w:r>
          </w:p>
        </w:tc>
        <w:tc>
          <w:tcPr>
            <w:tcW w:type="dxa" w:w="3312"/>
          </w:tcPr>
          <w:p>
            <w:r/>
            <w:r>
              <w:rPr>
                <w:rFonts w:ascii="Aptos" w:hAnsi="Aptos"/>
                <w:b w:val="0"/>
                <w:sz w:val="18"/>
              </w:rPr>
              <w:t>Savings account, short-term deposit</w:t>
            </w:r>
          </w:p>
        </w:tc>
        <w:tc>
          <w:tcPr>
            <w:tcW w:type="dxa" w:w="3312"/>
          </w:tcPr>
          <w:p>
            <w:r/>
            <w:r>
              <w:rPr>
                <w:rFonts w:ascii="Aptos" w:hAnsi="Aptos"/>
                <w:b w:val="0"/>
                <w:sz w:val="18"/>
              </w:rPr>
              <w:t>Shares, bonds, mutual funds, ETFs</w:t>
            </w:r>
          </w:p>
        </w:tc>
      </w:tr>
      <w:tr>
        <w:tc>
          <w:tcPr>
            <w:tcW w:type="dxa" w:w="3312"/>
          </w:tcPr>
          <w:p>
            <w:r/>
            <w:r>
              <w:rPr>
                <w:rFonts w:ascii="Aptos" w:hAnsi="Aptos"/>
                <w:b w:val="0"/>
                <w:sz w:val="18"/>
              </w:rPr>
              <w:t>Main risk</w:t>
            </w:r>
          </w:p>
        </w:tc>
        <w:tc>
          <w:tcPr>
            <w:tcW w:type="dxa" w:w="3312"/>
          </w:tcPr>
          <w:p>
            <w:r/>
            <w:r>
              <w:rPr>
                <w:rFonts w:ascii="Aptos" w:hAnsi="Aptos"/>
                <w:b w:val="0"/>
                <w:sz w:val="18"/>
              </w:rPr>
              <w:t>Inflation can reduce purchasing power; product-specific risks remain</w:t>
            </w:r>
          </w:p>
        </w:tc>
        <w:tc>
          <w:tcPr>
            <w:tcW w:type="dxa" w:w="3312"/>
          </w:tcPr>
          <w:p>
            <w:r/>
            <w:r>
              <w:rPr>
                <w:rFonts w:ascii="Aptos" w:hAnsi="Aptos"/>
                <w:b w:val="0"/>
                <w:sz w:val="18"/>
              </w:rPr>
              <w:t>Market losses, issuer default, liquidity, inflation, and other risks</w:t>
            </w:r>
          </w:p>
        </w:tc>
      </w:tr>
    </w:tbl>
    <w:p/>
    <w:p>
      <w:pPr>
        <w:pStyle w:val="Heading2"/>
      </w:pPr>
      <w:r>
        <w:t>Worked Example: A Near-Term Goal</w:t>
      </w:r>
    </w:p>
    <w:p>
      <w:r>
        <w:t>Meera expects to need ₹8,000 for a course fee in four months. Because the deadline is close and the amount must be available, putting the entire amount into a volatile investment could leave her short if the market falls. A suitable learning conclusion is that money needed soon is usually planned differently from money intended for a distant goal. The example does not prescribe a particular bank product.</w:t>
      </w:r>
    </w:p>
    <w:p>
      <w:pPr>
        <w:pStyle w:val="Heading2"/>
      </w:pPr>
      <w:r>
        <w:t>Check Your Understanding</w:t>
      </w:r>
    </w:p>
    <w:p>
      <w:r>
        <w:t>Why might a student keep next month’s transport money in savings rather than in shares? Suggested answer: the money is needed soon, and the value of shares could fall just when the student needs to sell.</w:t>
      </w:r>
    </w:p>
    <w:p>
      <w:pPr>
        <w:pStyle w:val="Heading1"/>
      </w:pPr>
      <w:r>
        <w:t>Topic 2 — What Can People Invest In?</w:t>
      </w:r>
    </w:p>
    <w:p>
      <w:pPr>
        <w:pStyle w:val="Heading2"/>
      </w:pPr>
      <w:r>
        <w:t>2.1 Shares or Stocks</w:t>
      </w:r>
    </w:p>
    <w:p>
      <w:r>
        <w:t>A share represents partial ownership in a company. A shareholder may benefit if the share price rises or if the company pays a dividend, but neither outcome is guaranteed. Share prices can fall because of company performance, market expectations, economic changes, or other events.</w:t>
      </w:r>
    </w:p>
    <w:p>
      <w:pPr>
        <w:pStyle w:val="Heading2"/>
      </w:pPr>
      <w:r>
        <w:t>2.2 Bonds</w:t>
      </w:r>
    </w:p>
    <w:p>
      <w:r>
        <w:t>A bond is a loan made by an investor to a government, company, or other issuer. The issuer promises payments under the bond’s terms. Bonds have risks: an issuer might fail to pay, and a bond’s market price can change when interest rates or perceptions of risk change. A bond is not the same as a bank deposit.</w:t>
      </w:r>
    </w:p>
    <w:p>
      <w:pPr>
        <w:pStyle w:val="Heading2"/>
      </w:pPr>
      <w:r>
        <w:t>2.3 Mutual Funds</w:t>
      </w:r>
    </w:p>
    <w:p>
      <w:r>
        <w:t>A mutual fund pools money from many investors and invests it according to a stated strategy. A fund may hold shares, bonds, or other assets. Investors own units in the fund rather than directly choosing every holding. Diversification may be easier, but a fund can still lose value and has costs.</w:t>
      </w:r>
    </w:p>
    <w:p>
      <w:pPr>
        <w:pStyle w:val="Heading2"/>
      </w:pPr>
      <w:r>
        <w:t>2.4 Exchange-Traded Funds (ETFs)</w:t>
      </w:r>
    </w:p>
    <w:p>
      <w:r>
        <w:t>An ETF is a fund whose units trade on an exchange. Many ETFs track an index or a defined basket of assets, although ETF strategies vary. The market price can differ slightly from the fund’s underlying value, and trading costs or other risks may apply.</w:t>
      </w:r>
    </w:p>
    <w:p>
      <w:pPr>
        <w:pStyle w:val="Heading2"/>
      </w:pPr>
      <w:r>
        <w:t>2.5 Cash and Cash-Like Holdings</w:t>
      </w:r>
    </w:p>
    <w:p>
      <w:r>
        <w:t>Cash and cash-like holdings can provide stability and liquidity, depending on the product. They may be useful for short-term needs, but their purchasing power can decline if prices rise faster than the money earns.</w:t>
      </w:r>
    </w:p>
    <w:tbl>
      <w:tblPr>
        <w:tblStyle w:val="LightShading-Accent1"/>
        <w:tblW w:type="auto" w:w="0"/>
        <w:tblLook w:firstColumn="1" w:firstRow="1" w:lastColumn="0" w:lastRow="0" w:noHBand="0" w:noVBand="1" w:val="04A0"/>
      </w:tblPr>
      <w:tblGrid>
        <w:gridCol w:w="3312"/>
        <w:gridCol w:w="3312"/>
        <w:gridCol w:w="3312"/>
      </w:tblGrid>
      <w:tr>
        <w:tc>
          <w:tcPr>
            <w:tcW w:type="dxa" w:w="3312"/>
            <w:shd w:fill="C9D9EC"/>
          </w:tcPr>
          <w:p>
            <w:r/>
            <w:r>
              <w:rPr>
                <w:rFonts w:ascii="Aptos" w:hAnsi="Aptos"/>
                <w:b/>
                <w:sz w:val="18"/>
              </w:rPr>
              <w:t>Asset type</w:t>
            </w:r>
          </w:p>
        </w:tc>
        <w:tc>
          <w:tcPr>
            <w:tcW w:type="dxa" w:w="3312"/>
            <w:shd w:fill="C9D9EC"/>
          </w:tcPr>
          <w:p>
            <w:r/>
            <w:r>
              <w:rPr>
                <w:rFonts w:ascii="Aptos" w:hAnsi="Aptos"/>
                <w:b/>
                <w:sz w:val="18"/>
              </w:rPr>
              <w:t>Possible role</w:t>
            </w:r>
          </w:p>
        </w:tc>
        <w:tc>
          <w:tcPr>
            <w:tcW w:type="dxa" w:w="3312"/>
            <w:shd w:fill="C9D9EC"/>
          </w:tcPr>
          <w:p>
            <w:r/>
            <w:r>
              <w:rPr>
                <w:rFonts w:ascii="Aptos" w:hAnsi="Aptos"/>
                <w:b/>
                <w:sz w:val="18"/>
              </w:rPr>
              <w:t>Important risk or limitation</w:t>
            </w:r>
          </w:p>
        </w:tc>
      </w:tr>
      <w:tr>
        <w:tc>
          <w:tcPr>
            <w:tcW w:type="dxa" w:w="3312"/>
          </w:tcPr>
          <w:p>
            <w:r/>
            <w:r>
              <w:rPr>
                <w:rFonts w:ascii="Aptos" w:hAnsi="Aptos"/>
                <w:b w:val="0"/>
                <w:sz w:val="18"/>
              </w:rPr>
              <w:t>Shares</w:t>
            </w:r>
          </w:p>
        </w:tc>
        <w:tc>
          <w:tcPr>
            <w:tcW w:type="dxa" w:w="3312"/>
          </w:tcPr>
          <w:p>
            <w:r/>
            <w:r>
              <w:rPr>
                <w:rFonts w:ascii="Aptos" w:hAnsi="Aptos"/>
                <w:b w:val="0"/>
                <w:sz w:val="18"/>
              </w:rPr>
              <w:t>Ownership and potential growth</w:t>
            </w:r>
          </w:p>
        </w:tc>
        <w:tc>
          <w:tcPr>
            <w:tcW w:type="dxa" w:w="3312"/>
          </w:tcPr>
          <w:p>
            <w:r/>
            <w:r>
              <w:rPr>
                <w:rFonts w:ascii="Aptos" w:hAnsi="Aptos"/>
                <w:b w:val="0"/>
                <w:sz w:val="18"/>
              </w:rPr>
              <w:t>Prices can fall sharply; returns are uncertain</w:t>
            </w:r>
          </w:p>
        </w:tc>
      </w:tr>
      <w:tr>
        <w:tc>
          <w:tcPr>
            <w:tcW w:type="dxa" w:w="3312"/>
          </w:tcPr>
          <w:p>
            <w:r/>
            <w:r>
              <w:rPr>
                <w:rFonts w:ascii="Aptos" w:hAnsi="Aptos"/>
                <w:b w:val="0"/>
                <w:sz w:val="18"/>
              </w:rPr>
              <w:t>Bonds</w:t>
            </w:r>
          </w:p>
        </w:tc>
        <w:tc>
          <w:tcPr>
            <w:tcW w:type="dxa" w:w="3312"/>
          </w:tcPr>
          <w:p>
            <w:r/>
            <w:r>
              <w:rPr>
                <w:rFonts w:ascii="Aptos" w:hAnsi="Aptos"/>
                <w:b w:val="0"/>
                <w:sz w:val="18"/>
              </w:rPr>
              <w:t>Potential income and portfolio balance</w:t>
            </w:r>
          </w:p>
        </w:tc>
        <w:tc>
          <w:tcPr>
            <w:tcW w:type="dxa" w:w="3312"/>
          </w:tcPr>
          <w:p>
            <w:r/>
            <w:r>
              <w:rPr>
                <w:rFonts w:ascii="Aptos" w:hAnsi="Aptos"/>
                <w:b w:val="0"/>
                <w:sz w:val="18"/>
              </w:rPr>
              <w:t>Issuer, interest-rate, inflation, and liquidity risks</w:t>
            </w:r>
          </w:p>
        </w:tc>
      </w:tr>
      <w:tr>
        <w:tc>
          <w:tcPr>
            <w:tcW w:type="dxa" w:w="3312"/>
          </w:tcPr>
          <w:p>
            <w:r/>
            <w:r>
              <w:rPr>
                <w:rFonts w:ascii="Aptos" w:hAnsi="Aptos"/>
                <w:b w:val="0"/>
                <w:sz w:val="18"/>
              </w:rPr>
              <w:t>Mutual funds</w:t>
            </w:r>
          </w:p>
        </w:tc>
        <w:tc>
          <w:tcPr>
            <w:tcW w:type="dxa" w:w="3312"/>
          </w:tcPr>
          <w:p>
            <w:r/>
            <w:r>
              <w:rPr>
                <w:rFonts w:ascii="Aptos" w:hAnsi="Aptos"/>
                <w:b w:val="0"/>
                <w:sz w:val="18"/>
              </w:rPr>
              <w:t>Pooled access to a strategy or asset mix</w:t>
            </w:r>
          </w:p>
        </w:tc>
        <w:tc>
          <w:tcPr>
            <w:tcW w:type="dxa" w:w="3312"/>
          </w:tcPr>
          <w:p>
            <w:r/>
            <w:r>
              <w:rPr>
                <w:rFonts w:ascii="Aptos" w:hAnsi="Aptos"/>
                <w:b w:val="0"/>
                <w:sz w:val="18"/>
              </w:rPr>
              <w:t>Market risk, fees, and strategy risk</w:t>
            </w:r>
          </w:p>
        </w:tc>
      </w:tr>
      <w:tr>
        <w:tc>
          <w:tcPr>
            <w:tcW w:type="dxa" w:w="3312"/>
          </w:tcPr>
          <w:p>
            <w:r/>
            <w:r>
              <w:rPr>
                <w:rFonts w:ascii="Aptos" w:hAnsi="Aptos"/>
                <w:b w:val="0"/>
                <w:sz w:val="18"/>
              </w:rPr>
              <w:t>ETFs</w:t>
            </w:r>
          </w:p>
        </w:tc>
        <w:tc>
          <w:tcPr>
            <w:tcW w:type="dxa" w:w="3312"/>
          </w:tcPr>
          <w:p>
            <w:r/>
            <w:r>
              <w:rPr>
                <w:rFonts w:ascii="Aptos" w:hAnsi="Aptos"/>
                <w:b w:val="0"/>
                <w:sz w:val="18"/>
              </w:rPr>
              <w:t>Exchange-traded access to a basket or strategy</w:t>
            </w:r>
          </w:p>
        </w:tc>
        <w:tc>
          <w:tcPr>
            <w:tcW w:type="dxa" w:w="3312"/>
          </w:tcPr>
          <w:p>
            <w:r/>
            <w:r>
              <w:rPr>
                <w:rFonts w:ascii="Aptos" w:hAnsi="Aptos"/>
                <w:b w:val="0"/>
                <w:sz w:val="18"/>
              </w:rPr>
              <w:t>Market risk, trading costs, and possible tracking differences</w:t>
            </w:r>
          </w:p>
        </w:tc>
      </w:tr>
      <w:tr>
        <w:tc>
          <w:tcPr>
            <w:tcW w:type="dxa" w:w="3312"/>
          </w:tcPr>
          <w:p>
            <w:r/>
            <w:r>
              <w:rPr>
                <w:rFonts w:ascii="Aptos" w:hAnsi="Aptos"/>
                <w:b w:val="0"/>
                <w:sz w:val="18"/>
              </w:rPr>
              <w:t>Cash / cash-like products</w:t>
            </w:r>
          </w:p>
        </w:tc>
        <w:tc>
          <w:tcPr>
            <w:tcW w:type="dxa" w:w="3312"/>
          </w:tcPr>
          <w:p>
            <w:r/>
            <w:r>
              <w:rPr>
                <w:rFonts w:ascii="Aptos" w:hAnsi="Aptos"/>
                <w:b w:val="0"/>
                <w:sz w:val="18"/>
              </w:rPr>
              <w:t>Access and short-term stability</w:t>
            </w:r>
          </w:p>
        </w:tc>
        <w:tc>
          <w:tcPr>
            <w:tcW w:type="dxa" w:w="3312"/>
          </w:tcPr>
          <w:p>
            <w:r/>
            <w:r>
              <w:rPr>
                <w:rFonts w:ascii="Aptos" w:hAnsi="Aptos"/>
                <w:b w:val="0"/>
                <w:sz w:val="18"/>
              </w:rPr>
              <w:t>Inflation and product-specific limits or risks</w:t>
            </w:r>
          </w:p>
        </w:tc>
      </w:tr>
    </w:tbl>
    <w:p/>
    <w:p>
      <w:pPr>
        <w:pStyle w:val="Heading1"/>
      </w:pPr>
      <w:r>
        <w:t>Topic 3 — Return: Measuring What Happened</w:t>
      </w:r>
    </w:p>
    <w:p>
      <w:r>
        <w:t>A return measures the change in an investment’s value over a period. A basic price return compares the ending price with the starting price. Some investments also pay income, such as dividends or bond interest. This introductory course separates price return from income so students do not accidentally count the same amount twice.</w:t>
      </w:r>
    </w:p>
    <w:p>
      <w:pPr>
        <w:pStyle w:val="Heading2"/>
      </w:pPr>
      <w:r>
        <w:t>Formula: Basic Price Return</w:t>
      </w:r>
    </w:p>
    <w:p>
      <w:r>
        <w:t>Price return (%) = [(Ending price − Starting price) ÷ Starting price] × 100</w:t>
      </w:r>
    </w:p>
    <w:p>
      <w:pPr>
        <w:pStyle w:val="Heading2"/>
      </w:pPr>
      <w:r>
        <w:t>Worked Example A: Positive Return</w:t>
      </w:r>
    </w:p>
    <w:p>
      <w:r>
        <w:t>A fictional share is bought at ₹100 and later is worth ₹115. Price return = [(₹115 − ₹100) ÷ ₹100] × 100 = 15%. The share’s price rose by 15% during that period. This does not tell us what it will do next.</w:t>
      </w:r>
    </w:p>
    <w:p>
      <w:pPr>
        <w:pStyle w:val="Heading2"/>
      </w:pPr>
      <w:r>
        <w:t>Worked Example B: Negative Return</w:t>
      </w:r>
    </w:p>
    <w:p>
      <w:r>
        <w:t>A fictional fund unit is bought at ₹200 and later is worth ₹180. Price return = [(₹180 − ₹200) ÷ ₹200] × 100 = −10%. The value fell by 10%. A loss is a normal possibility in investing, not proof that a future recovery is certain.</w:t>
      </w:r>
    </w:p>
    <w:p>
      <w:pPr>
        <w:pStyle w:val="Heading2"/>
      </w:pPr>
      <w:r>
        <w:t>A Common Mistake: Rupees and Percentages</w:t>
      </w:r>
    </w:p>
    <w:p>
      <w:r>
        <w:t>A ₹10 increase from ₹100 to ₹110 is a 10% rise. A ₹10 increase from ₹200 to ₹210 is a 5% rise. The rupee change is identical, but the percentage change is different because the starting values differ.</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shd w:fill="C9D9EC"/>
          </w:tcPr>
          <w:p>
            <w:r/>
            <w:r>
              <w:rPr>
                <w:rFonts w:ascii="Aptos" w:hAnsi="Aptos"/>
                <w:b/>
                <w:sz w:val="18"/>
              </w:rPr>
              <w:t>Starting value</w:t>
            </w:r>
          </w:p>
        </w:tc>
        <w:tc>
          <w:tcPr>
            <w:tcW w:type="dxa" w:w="2484"/>
            <w:shd w:fill="C9D9EC"/>
          </w:tcPr>
          <w:p>
            <w:r/>
            <w:r>
              <w:rPr>
                <w:rFonts w:ascii="Aptos" w:hAnsi="Aptos"/>
                <w:b/>
                <w:sz w:val="18"/>
              </w:rPr>
              <w:t>Ending value</w:t>
            </w:r>
          </w:p>
        </w:tc>
        <w:tc>
          <w:tcPr>
            <w:tcW w:type="dxa" w:w="2484"/>
            <w:shd w:fill="C9D9EC"/>
          </w:tcPr>
          <w:p>
            <w:r/>
            <w:r>
              <w:rPr>
                <w:rFonts w:ascii="Aptos" w:hAnsi="Aptos"/>
                <w:b/>
                <w:sz w:val="18"/>
              </w:rPr>
              <w:t>Change</w:t>
            </w:r>
          </w:p>
        </w:tc>
        <w:tc>
          <w:tcPr>
            <w:tcW w:type="dxa" w:w="2484"/>
            <w:shd w:fill="C9D9EC"/>
          </w:tcPr>
          <w:p>
            <w:r/>
            <w:r>
              <w:rPr>
                <w:rFonts w:ascii="Aptos" w:hAnsi="Aptos"/>
                <w:b/>
                <w:sz w:val="18"/>
              </w:rPr>
              <w:t>Price return</w:t>
            </w:r>
          </w:p>
        </w:tc>
      </w:tr>
      <w:tr>
        <w:tc>
          <w:tcPr>
            <w:tcW w:type="dxa" w:w="2484"/>
          </w:tcPr>
          <w:p>
            <w:r/>
            <w:r>
              <w:rPr>
                <w:rFonts w:ascii="Aptos" w:hAnsi="Aptos"/>
                <w:b w:val="0"/>
                <w:sz w:val="18"/>
              </w:rPr>
              <w:t>₹100</w:t>
            </w:r>
          </w:p>
        </w:tc>
        <w:tc>
          <w:tcPr>
            <w:tcW w:type="dxa" w:w="2484"/>
          </w:tcPr>
          <w:p>
            <w:r/>
            <w:r>
              <w:rPr>
                <w:rFonts w:ascii="Aptos" w:hAnsi="Aptos"/>
                <w:b w:val="0"/>
                <w:sz w:val="18"/>
              </w:rPr>
              <w:t>₹110</w:t>
            </w:r>
          </w:p>
        </w:tc>
        <w:tc>
          <w:tcPr>
            <w:tcW w:type="dxa" w:w="2484"/>
          </w:tcPr>
          <w:p>
            <w:r/>
            <w:r>
              <w:rPr>
                <w:rFonts w:ascii="Aptos" w:hAnsi="Aptos"/>
                <w:b w:val="0"/>
                <w:sz w:val="18"/>
              </w:rPr>
              <w:t>+₹10</w:t>
            </w:r>
          </w:p>
        </w:tc>
        <w:tc>
          <w:tcPr>
            <w:tcW w:type="dxa" w:w="2484"/>
          </w:tcPr>
          <w:p>
            <w:r/>
            <w:r>
              <w:rPr>
                <w:rFonts w:ascii="Aptos" w:hAnsi="Aptos"/>
                <w:b w:val="0"/>
                <w:sz w:val="18"/>
              </w:rPr>
              <w:t>+10%</w:t>
            </w:r>
          </w:p>
        </w:tc>
      </w:tr>
      <w:tr>
        <w:tc>
          <w:tcPr>
            <w:tcW w:type="dxa" w:w="2484"/>
          </w:tcPr>
          <w:p>
            <w:r/>
            <w:r>
              <w:rPr>
                <w:rFonts w:ascii="Aptos" w:hAnsi="Aptos"/>
                <w:b w:val="0"/>
                <w:sz w:val="18"/>
              </w:rPr>
              <w:t>₹200</w:t>
            </w:r>
          </w:p>
        </w:tc>
        <w:tc>
          <w:tcPr>
            <w:tcW w:type="dxa" w:w="2484"/>
          </w:tcPr>
          <w:p>
            <w:r/>
            <w:r>
              <w:rPr>
                <w:rFonts w:ascii="Aptos" w:hAnsi="Aptos"/>
                <w:b w:val="0"/>
                <w:sz w:val="18"/>
              </w:rPr>
              <w:t>₹210</w:t>
            </w:r>
          </w:p>
        </w:tc>
        <w:tc>
          <w:tcPr>
            <w:tcW w:type="dxa" w:w="2484"/>
          </w:tcPr>
          <w:p>
            <w:r/>
            <w:r>
              <w:rPr>
                <w:rFonts w:ascii="Aptos" w:hAnsi="Aptos"/>
                <w:b w:val="0"/>
                <w:sz w:val="18"/>
              </w:rPr>
              <w:t>+₹10</w:t>
            </w:r>
          </w:p>
        </w:tc>
        <w:tc>
          <w:tcPr>
            <w:tcW w:type="dxa" w:w="2484"/>
          </w:tcPr>
          <w:p>
            <w:r/>
            <w:r>
              <w:rPr>
                <w:rFonts w:ascii="Aptos" w:hAnsi="Aptos"/>
                <w:b w:val="0"/>
                <w:sz w:val="18"/>
              </w:rPr>
              <w:t>+5%</w:t>
            </w:r>
          </w:p>
        </w:tc>
      </w:tr>
      <w:tr>
        <w:tc>
          <w:tcPr>
            <w:tcW w:type="dxa" w:w="2484"/>
          </w:tcPr>
          <w:p>
            <w:r/>
            <w:r>
              <w:rPr>
                <w:rFonts w:ascii="Aptos" w:hAnsi="Aptos"/>
                <w:b w:val="0"/>
                <w:sz w:val="18"/>
              </w:rPr>
              <w:t>₹100</w:t>
            </w:r>
          </w:p>
        </w:tc>
        <w:tc>
          <w:tcPr>
            <w:tcW w:type="dxa" w:w="2484"/>
          </w:tcPr>
          <w:p>
            <w:r/>
            <w:r>
              <w:rPr>
                <w:rFonts w:ascii="Aptos" w:hAnsi="Aptos"/>
                <w:b w:val="0"/>
                <w:sz w:val="18"/>
              </w:rPr>
              <w:t>₹90</w:t>
            </w:r>
          </w:p>
        </w:tc>
        <w:tc>
          <w:tcPr>
            <w:tcW w:type="dxa" w:w="2484"/>
          </w:tcPr>
          <w:p>
            <w:r/>
            <w:r>
              <w:rPr>
                <w:rFonts w:ascii="Aptos" w:hAnsi="Aptos"/>
                <w:b w:val="0"/>
                <w:sz w:val="18"/>
              </w:rPr>
              <w:t>−₹10</w:t>
            </w:r>
          </w:p>
        </w:tc>
        <w:tc>
          <w:tcPr>
            <w:tcW w:type="dxa" w:w="2484"/>
          </w:tcPr>
          <w:p>
            <w:r/>
            <w:r>
              <w:rPr>
                <w:rFonts w:ascii="Aptos" w:hAnsi="Aptos"/>
                <w:b w:val="0"/>
                <w:sz w:val="18"/>
              </w:rPr>
              <w:t>−10%</w:t>
            </w:r>
          </w:p>
        </w:tc>
      </w:tr>
    </w:tbl>
    <w:p/>
    <w:p>
      <w:pPr>
        <w:pStyle w:val="Heading1"/>
      </w:pPr>
      <w:r>
        <w:t>Topic 4 — Risk, Return, and Time Horizon</w:t>
      </w:r>
    </w:p>
    <w:p>
      <w:r>
        <w:t>Investment risk is the possibility that an outcome differs from what an investor expects, including the possibility of losing money. Return is the gain or loss over a period. In general, seeking higher potential returns often involves accepting greater uncertainty, but taking more risk does not guarantee a higher return.</w:t>
      </w:r>
    </w:p>
    <w:p>
      <w:pPr>
        <w:pStyle w:val="Heading2"/>
      </w:pPr>
      <w:r>
        <w:t>Types of Risk</w:t>
      </w:r>
    </w:p>
    <w:p>
      <w:pPr>
        <w:pStyle w:val="ListBullet"/>
      </w:pPr>
      <w:r>
        <w:t>Market risk: broad market movements reduce asset values.</w:t>
      </w:r>
    </w:p>
    <w:p>
      <w:pPr>
        <w:pStyle w:val="ListBullet"/>
      </w:pPr>
      <w:r>
        <w:t>Company or issuer risk: a company or bond issuer performs poorly or fails to meet obligations.</w:t>
      </w:r>
    </w:p>
    <w:p>
      <w:pPr>
        <w:pStyle w:val="ListBullet"/>
      </w:pPr>
      <w:r>
        <w:t>Inflation risk: prices rise, reducing what money can buy.</w:t>
      </w:r>
    </w:p>
    <w:p>
      <w:pPr>
        <w:pStyle w:val="ListBullet"/>
      </w:pPr>
      <w:r>
        <w:t>Liquidity risk: an asset cannot be sold quickly at a fair price.</w:t>
      </w:r>
    </w:p>
    <w:p>
      <w:pPr>
        <w:pStyle w:val="ListBullet"/>
      </w:pPr>
      <w:r>
        <w:t>Concentration risk: too much money depends on one company, sector, or asset.</w:t>
      </w:r>
    </w:p>
    <w:p>
      <w:pPr>
        <w:pStyle w:val="ListBullet"/>
      </w:pPr>
      <w:r>
        <w:t>Behavioural risk: panic, overconfidence, or chasing trends leads to poor decisions.</w:t>
      </w:r>
    </w:p>
    <w:p>
      <w:pPr>
        <w:pStyle w:val="Heading2"/>
      </w:pPr>
      <w:r>
        <w:t>Risk Tolerance, Risk Capacity, and Time Horizon</w:t>
      </w:r>
    </w:p>
    <w:p>
      <w:r>
        <w:t>Risk tolerance is how comfortable a person feels with uncertainty and losses. Risk capacity is how much loss a person can financially withstand without damaging essential needs. Time horizon is when the money is expected to be needed. These ideas are related but not interchangeable: someone may feel comfortable with risk but have little capacity to absorb a loss.</w:t>
      </w:r>
    </w:p>
    <w:tbl>
      <w:tblPr>
        <w:tblStyle w:val="LightShading-Accent1"/>
        <w:tblW w:type="auto" w:w="0"/>
        <w:tblLook w:firstColumn="1" w:firstRow="1" w:lastColumn="0" w:lastRow="0" w:noHBand="0" w:noVBand="1" w:val="04A0"/>
      </w:tblPr>
      <w:tblGrid>
        <w:gridCol w:w="3312"/>
        <w:gridCol w:w="3312"/>
        <w:gridCol w:w="3312"/>
      </w:tblGrid>
      <w:tr>
        <w:tc>
          <w:tcPr>
            <w:tcW w:type="dxa" w:w="3312"/>
            <w:shd w:fill="C9D9EC"/>
          </w:tcPr>
          <w:p>
            <w:r/>
            <w:r>
              <w:rPr>
                <w:rFonts w:ascii="Aptos" w:hAnsi="Aptos"/>
                <w:b/>
                <w:sz w:val="18"/>
              </w:rPr>
              <w:t>Fictional goal</w:t>
            </w:r>
          </w:p>
        </w:tc>
        <w:tc>
          <w:tcPr>
            <w:tcW w:type="dxa" w:w="3312"/>
            <w:shd w:fill="C9D9EC"/>
          </w:tcPr>
          <w:p>
            <w:r/>
            <w:r>
              <w:rPr>
                <w:rFonts w:ascii="Aptos" w:hAnsi="Aptos"/>
                <w:b/>
                <w:sz w:val="18"/>
              </w:rPr>
              <w:t>Time horizon</w:t>
            </w:r>
          </w:p>
        </w:tc>
        <w:tc>
          <w:tcPr>
            <w:tcW w:type="dxa" w:w="3312"/>
            <w:shd w:fill="C9D9EC"/>
          </w:tcPr>
          <w:p>
            <w:r/>
            <w:r>
              <w:rPr>
                <w:rFonts w:ascii="Aptos" w:hAnsi="Aptos"/>
                <w:b/>
                <w:sz w:val="18"/>
              </w:rPr>
              <w:t>Key consideration</w:t>
            </w:r>
          </w:p>
        </w:tc>
      </w:tr>
      <w:tr>
        <w:tc>
          <w:tcPr>
            <w:tcW w:type="dxa" w:w="3312"/>
          </w:tcPr>
          <w:p>
            <w:r/>
            <w:r>
              <w:rPr>
                <w:rFonts w:ascii="Aptos" w:hAnsi="Aptos"/>
                <w:b w:val="0"/>
                <w:sz w:val="18"/>
              </w:rPr>
              <w:t>School trip fee due in two months</w:t>
            </w:r>
          </w:p>
        </w:tc>
        <w:tc>
          <w:tcPr>
            <w:tcW w:type="dxa" w:w="3312"/>
          </w:tcPr>
          <w:p>
            <w:r/>
            <w:r>
              <w:rPr>
                <w:rFonts w:ascii="Aptos" w:hAnsi="Aptos"/>
                <w:b w:val="0"/>
                <w:sz w:val="18"/>
              </w:rPr>
              <w:t>Very short</w:t>
            </w:r>
          </w:p>
        </w:tc>
        <w:tc>
          <w:tcPr>
            <w:tcW w:type="dxa" w:w="3312"/>
          </w:tcPr>
          <w:p>
            <w:r/>
            <w:r>
              <w:rPr>
                <w:rFonts w:ascii="Aptos" w:hAnsi="Aptos"/>
                <w:b w:val="0"/>
                <w:sz w:val="18"/>
              </w:rPr>
              <w:t>Access and value stability matter strongly</w:t>
            </w:r>
          </w:p>
        </w:tc>
      </w:tr>
      <w:tr>
        <w:tc>
          <w:tcPr>
            <w:tcW w:type="dxa" w:w="3312"/>
          </w:tcPr>
          <w:p>
            <w:r/>
            <w:r>
              <w:rPr>
                <w:rFonts w:ascii="Aptos" w:hAnsi="Aptos"/>
                <w:b w:val="0"/>
                <w:sz w:val="18"/>
              </w:rPr>
              <w:t>Laptop needed next year</w:t>
            </w:r>
          </w:p>
        </w:tc>
        <w:tc>
          <w:tcPr>
            <w:tcW w:type="dxa" w:w="3312"/>
          </w:tcPr>
          <w:p>
            <w:r/>
            <w:r>
              <w:rPr>
                <w:rFonts w:ascii="Aptos" w:hAnsi="Aptos"/>
                <w:b w:val="0"/>
                <w:sz w:val="18"/>
              </w:rPr>
              <w:t>Short</w:t>
            </w:r>
          </w:p>
        </w:tc>
        <w:tc>
          <w:tcPr>
            <w:tcW w:type="dxa" w:w="3312"/>
          </w:tcPr>
          <w:p>
            <w:r/>
            <w:r>
              <w:rPr>
                <w:rFonts w:ascii="Aptos" w:hAnsi="Aptos"/>
                <w:b w:val="0"/>
                <w:sz w:val="18"/>
              </w:rPr>
              <w:t>A market decline near the deadline could be difficult to recover from</w:t>
            </w:r>
          </w:p>
        </w:tc>
      </w:tr>
      <w:tr>
        <w:tc>
          <w:tcPr>
            <w:tcW w:type="dxa" w:w="3312"/>
          </w:tcPr>
          <w:p>
            <w:r/>
            <w:r>
              <w:rPr>
                <w:rFonts w:ascii="Aptos" w:hAnsi="Aptos"/>
                <w:b w:val="0"/>
                <w:sz w:val="18"/>
              </w:rPr>
              <w:t>A long-term goal several decades away</w:t>
            </w:r>
          </w:p>
        </w:tc>
        <w:tc>
          <w:tcPr>
            <w:tcW w:type="dxa" w:w="3312"/>
          </w:tcPr>
          <w:p>
            <w:r/>
            <w:r>
              <w:rPr>
                <w:rFonts w:ascii="Aptos" w:hAnsi="Aptos"/>
                <w:b w:val="0"/>
                <w:sz w:val="18"/>
              </w:rPr>
              <w:t>Long</w:t>
            </w:r>
          </w:p>
        </w:tc>
        <w:tc>
          <w:tcPr>
            <w:tcW w:type="dxa" w:w="3312"/>
          </w:tcPr>
          <w:p>
            <w:r/>
            <w:r>
              <w:rPr>
                <w:rFonts w:ascii="Aptos" w:hAnsi="Aptos"/>
                <w:b w:val="0"/>
                <w:sz w:val="18"/>
              </w:rPr>
              <w:t>More time may help absorb fluctuations, but does not remove risk</w:t>
            </w:r>
          </w:p>
        </w:tc>
      </w:tr>
    </w:tbl>
    <w:p/>
    <w:p>
      <w:r>
        <w:t>There is no single allocation that is correct for every person. Real decisions depend on goals, financial circumstances, local rules, costs, and other factors. VanQuest teaches the questions to ask rather than prescribing an allocation.</w:t>
      </w:r>
    </w:p>
    <w:p>
      <w:pPr>
        <w:pStyle w:val="Heading1"/>
      </w:pPr>
      <w:r>
        <w:t>Topic 5 — Diversification and Asset Allocation</w:t>
      </w:r>
    </w:p>
    <w:p>
      <w:r>
        <w:t>Diversification means spreading exposure across different investments so that the outcome does not depend entirely on one holding. It can reduce some company-specific or sector-specific risk, but it cannot eliminate all losses. During a broad market decline, many different investments may fall together.</w:t>
      </w:r>
    </w:p>
    <w:p>
      <w:r>
        <w:t>Asset allocation is the way a portfolio is divided among asset categories, such as shares, bonds, and cash-like holdings. The allocation influences a portfolio’s potential fluctuations and returns. Diversification is about how risk is spread; asset allocation is about the overall mix.</w:t>
      </w:r>
    </w:p>
    <w:p>
      <w:pPr>
        <w:pStyle w:val="Heading2"/>
      </w:pPr>
      <w:r>
        <w:t>Worked Example: Concentration</w:t>
      </w:r>
    </w:p>
    <w:p>
      <w:r>
        <w:t>Portfolio A has ₹10,000 invested entirely in one fictional company. Portfolio B divides ₹10,000 among a broad share fund, a bond fund, and cash-like holdings. If the company in Portfolio A suffers a serious setback, the whole portfolio is exposed to that company. Portfolio B has different exposures, although it can still lose value. This example illustrates concentration; it does not prove Portfolio B will outperform.</w:t>
      </w:r>
    </w:p>
    <w:p>
      <w:pPr>
        <w:pStyle w:val="Heading2"/>
      </w:pPr>
      <w:r>
        <w:t>Important Limitation</w:t>
      </w:r>
    </w:p>
    <w:p>
      <w:r>
        <w:t>Owning many investments does not automatically create meaningful diversification if they all depend on the same company, sector, or market factor. Students should ask what the holdings actually contain rather than judging diversification only by the number of names.</w:t>
      </w:r>
    </w:p>
    <w:p>
      <w:pPr>
        <w:pStyle w:val="Heading1"/>
      </w:pPr>
      <w:r>
        <w:t>Topic 6 — Investment Costs and Fees</w:t>
      </w:r>
    </w:p>
    <w:p>
      <w:r>
        <w:t>Investment costs can include fund management expenses, platform or account fees, brokerage, transaction charges, taxes, and bid–ask spreads. Which costs apply depends on the product, provider, transaction, and local rules. Fees reduce the money that remains invested or the return the investor keeps.</w:t>
      </w:r>
    </w:p>
    <w:p>
      <w:pPr>
        <w:pStyle w:val="Heading2"/>
      </w:pPr>
      <w:r>
        <w:t>Worked Example: Annual Fee</w:t>
      </w:r>
    </w:p>
    <w:p>
      <w:r>
        <w:t>Suppose a fictional investment account has an average value of ₹20,000 and a fee equal to 1% of that value for a year. The approximate fee is ₹20,000 × 0.01 = ₹200. If the fee were 0.25%, the approximate fee would be ₹50. Actual fee calculations may differ and the example excludes taxes and other charges.</w:t>
      </w:r>
    </w:p>
    <w:p>
      <w:r>
        <w:t>Lower cost does not automatically mean a product is suitable, and a higher fee does not guarantee better performance. Compare costs alongside the product’s purpose, risks, holdings, and terms.</w:t>
      </w:r>
    </w:p>
    <w:p>
      <w:pPr>
        <w:pStyle w:val="Heading1"/>
      </w:pPr>
      <w:r>
        <w:t>Topic 7 — Compounding and the Value of Time</w:t>
      </w:r>
    </w:p>
    <w:p>
      <w:r>
        <w:t>Compounding occurs when returns earned on an amount remain invested and can themselves earn returns later. Compounding can support growth over long periods, but the result depends on the actual returns, timing of contributions, fees, taxes, and losses. Real investment returns vary; a constant annual rate in a classroom example is only a mathematical assumption.</w:t>
      </w:r>
    </w:p>
    <w:p>
      <w:pPr>
        <w:pStyle w:val="Heading2"/>
      </w:pPr>
      <w:r>
        <w:t>Formula: Annual Compounding Assumption</w:t>
      </w:r>
    </w:p>
    <w:p>
      <w:r>
        <w:t>Future value = Starting amount × (1 + assumed annual rate)ⁿ, where n is the number of years.</w:t>
      </w:r>
    </w:p>
    <w:p>
      <w:pPr>
        <w:pStyle w:val="Heading2"/>
      </w:pPr>
      <w:r>
        <w:t>Worked Example</w:t>
      </w:r>
    </w:p>
    <w:p>
      <w:r>
        <w:t>Assume ₹10,000 grows at a hypothetical fixed 5% each year, with no extra deposits, fees, or taxes. After one year: ₹10,000 × 1.05 = ₹10,500. After two years: ₹10,500 × 1.05 = ₹11,025. The second year’s 5% is applied to ₹10,500, not just the original ₹10,000. This is a simplified illustration, not a forecast.</w:t>
      </w:r>
    </w:p>
    <w:tbl>
      <w:tblPr>
        <w:tblStyle w:val="LightShading-Accent1"/>
        <w:tblW w:type="auto" w:w="0"/>
        <w:tblLook w:firstColumn="1" w:firstRow="1" w:lastColumn="0" w:lastRow="0" w:noHBand="0" w:noVBand="1" w:val="04A0"/>
      </w:tblPr>
      <w:tblGrid>
        <w:gridCol w:w="4968"/>
        <w:gridCol w:w="4968"/>
      </w:tblGrid>
      <w:tr>
        <w:tc>
          <w:tcPr>
            <w:tcW w:type="dxa" w:w="4968"/>
            <w:shd w:fill="C9D9EC"/>
          </w:tcPr>
          <w:p>
            <w:r/>
            <w:r>
              <w:rPr>
                <w:rFonts w:ascii="Aptos" w:hAnsi="Aptos"/>
                <w:b/>
                <w:sz w:val="18"/>
              </w:rPr>
              <w:t>Year</w:t>
            </w:r>
          </w:p>
        </w:tc>
        <w:tc>
          <w:tcPr>
            <w:tcW w:type="dxa" w:w="4968"/>
            <w:shd w:fill="C9D9EC"/>
          </w:tcPr>
          <w:p>
            <w:r/>
            <w:r>
              <w:rPr>
                <w:rFonts w:ascii="Aptos" w:hAnsi="Aptos"/>
                <w:b/>
                <w:sz w:val="18"/>
              </w:rPr>
              <w:t>Illustrative balance at 5%</w:t>
            </w:r>
          </w:p>
        </w:tc>
      </w:tr>
      <w:tr>
        <w:tc>
          <w:tcPr>
            <w:tcW w:type="dxa" w:w="4968"/>
          </w:tcPr>
          <w:p>
            <w:r/>
            <w:r>
              <w:rPr>
                <w:rFonts w:ascii="Aptos" w:hAnsi="Aptos"/>
                <w:b w:val="0"/>
                <w:sz w:val="18"/>
              </w:rPr>
              <w:t>0</w:t>
            </w:r>
          </w:p>
        </w:tc>
        <w:tc>
          <w:tcPr>
            <w:tcW w:type="dxa" w:w="4968"/>
          </w:tcPr>
          <w:p>
            <w:r/>
            <w:r>
              <w:rPr>
                <w:rFonts w:ascii="Aptos" w:hAnsi="Aptos"/>
                <w:b w:val="0"/>
                <w:sz w:val="18"/>
              </w:rPr>
              <w:t>₹10,000.00</w:t>
            </w:r>
          </w:p>
        </w:tc>
      </w:tr>
      <w:tr>
        <w:tc>
          <w:tcPr>
            <w:tcW w:type="dxa" w:w="4968"/>
          </w:tcPr>
          <w:p>
            <w:r/>
            <w:r>
              <w:rPr>
                <w:rFonts w:ascii="Aptos" w:hAnsi="Aptos"/>
                <w:b w:val="0"/>
                <w:sz w:val="18"/>
              </w:rPr>
              <w:t>1</w:t>
            </w:r>
          </w:p>
        </w:tc>
        <w:tc>
          <w:tcPr>
            <w:tcW w:type="dxa" w:w="4968"/>
          </w:tcPr>
          <w:p>
            <w:r/>
            <w:r>
              <w:rPr>
                <w:rFonts w:ascii="Aptos" w:hAnsi="Aptos"/>
                <w:b w:val="0"/>
                <w:sz w:val="18"/>
              </w:rPr>
              <w:t>₹10,500.00</w:t>
            </w:r>
          </w:p>
        </w:tc>
      </w:tr>
      <w:tr>
        <w:tc>
          <w:tcPr>
            <w:tcW w:type="dxa" w:w="4968"/>
          </w:tcPr>
          <w:p>
            <w:r/>
            <w:r>
              <w:rPr>
                <w:rFonts w:ascii="Aptos" w:hAnsi="Aptos"/>
                <w:b w:val="0"/>
                <w:sz w:val="18"/>
              </w:rPr>
              <w:t>2</w:t>
            </w:r>
          </w:p>
        </w:tc>
        <w:tc>
          <w:tcPr>
            <w:tcW w:type="dxa" w:w="4968"/>
          </w:tcPr>
          <w:p>
            <w:r/>
            <w:r>
              <w:rPr>
                <w:rFonts w:ascii="Aptos" w:hAnsi="Aptos"/>
                <w:b w:val="0"/>
                <w:sz w:val="18"/>
              </w:rPr>
              <w:t>₹11,025.00</w:t>
            </w:r>
          </w:p>
        </w:tc>
      </w:tr>
      <w:tr>
        <w:tc>
          <w:tcPr>
            <w:tcW w:type="dxa" w:w="4968"/>
          </w:tcPr>
          <w:p>
            <w:r/>
            <w:r>
              <w:rPr>
                <w:rFonts w:ascii="Aptos" w:hAnsi="Aptos"/>
                <w:b w:val="0"/>
                <w:sz w:val="18"/>
              </w:rPr>
              <w:t>3</w:t>
            </w:r>
          </w:p>
        </w:tc>
        <w:tc>
          <w:tcPr>
            <w:tcW w:type="dxa" w:w="4968"/>
          </w:tcPr>
          <w:p>
            <w:r/>
            <w:r>
              <w:rPr>
                <w:rFonts w:ascii="Aptos" w:hAnsi="Aptos"/>
                <w:b w:val="0"/>
                <w:sz w:val="18"/>
              </w:rPr>
              <w:t>₹11,576.25</w:t>
            </w:r>
          </w:p>
        </w:tc>
      </w:tr>
    </w:tbl>
    <w:p/>
    <w:p>
      <w:r>
        <w:t>Inflation also matters. If prices rise over time, a balance that increases in rupees may not increase by the same amount in purchasing power. Always distinguish nominal amounts from what those amounts can buy.</w:t>
      </w:r>
    </w:p>
    <w:p>
      <w:pPr>
        <w:pStyle w:val="Heading1"/>
      </w:pPr>
      <w:r>
        <w:t>Topic 8 — Regular Investing and Systematic Investment Plans (SIPs)</w:t>
      </w:r>
    </w:p>
    <w:p>
      <w:r>
        <w:t>A systematic investment plan (SIP) is a method of investing a set amount at regular intervals into a mutual fund, commonly used in India. A SIP is a contribution method, not a separate asset class and not a guarantee of profit. The fund’s value can rise or fall, and units purchased at different times may have different prices.</w:t>
      </w:r>
    </w:p>
    <w:p>
      <w:pPr>
        <w:pStyle w:val="Heading2"/>
      </w:pPr>
      <w:r>
        <w:t>How Regular Contributions Work</w:t>
      </w:r>
    </w:p>
    <w:p>
      <w:r>
        <w:t>If a fictional learner invests ₹500 each month for six months, the total amount contributed is ₹500 × 6 = ₹3,000. The account value after six months could be above or below ₹3,000 because unit prices change and costs may apply. Contributions are not the same as returns.</w:t>
      </w:r>
    </w:p>
    <w:p>
      <w:r>
        <w:t>Regular contributions can build a habit and spread purchases across different dates. They do not eliminate market risk or guarantee a lower average purchase price. A learner should understand the fund, risks, fees, and time horizon before evaluating a real product.</w:t>
      </w:r>
    </w:p>
    <w:p>
      <w:pPr>
        <w:pStyle w:val="Heading1"/>
      </w:pPr>
      <w:r>
        <w:t>Topic 9 — Reading a Price Chart Without Predicting the Future</w:t>
      </w:r>
    </w:p>
    <w:p>
      <w:r>
        <w:t>A price chart shows historical price movement. It helps describe what happened during a selected period; it cannot reliably tell a learner what will happen next. Chart reading should begin with observation, not a prediction.</w:t>
      </w:r>
    </w:p>
    <w:p>
      <w:pPr>
        <w:pStyle w:val="Heading2"/>
      </w:pPr>
      <w:r>
        <w:t>Candlestick Basics</w:t>
      </w:r>
    </w:p>
    <w:p>
      <w:pPr>
        <w:pStyle w:val="ListBullet"/>
      </w:pPr>
      <w:r>
        <w:t>Open: the price at the beginning of the selected period.</w:t>
      </w:r>
    </w:p>
    <w:p>
      <w:pPr>
        <w:pStyle w:val="ListBullet"/>
      </w:pPr>
      <w:r>
        <w:t>Close: the price at the end of the selected period.</w:t>
      </w:r>
    </w:p>
    <w:p>
      <w:pPr>
        <w:pStyle w:val="ListBullet"/>
      </w:pPr>
      <w:r>
        <w:t>High: the highest price reached during the period.</w:t>
      </w:r>
    </w:p>
    <w:p>
      <w:pPr>
        <w:pStyle w:val="ListBullet"/>
      </w:pPr>
      <w:r>
        <w:t>Low: the lowest price reached during the period.</w:t>
      </w:r>
    </w:p>
    <w:p>
      <w:pPr>
        <w:pStyle w:val="ListBullet"/>
      </w:pPr>
      <w:r>
        <w:t>Body: the area between open and close.</w:t>
      </w:r>
    </w:p>
    <w:p>
      <w:pPr>
        <w:pStyle w:val="ListBullet"/>
      </w:pPr>
      <w:r>
        <w:t>Wick or shadow: the lines showing the high and low beyond the body.</w:t>
      </w:r>
    </w:p>
    <w:p>
      <w:r>
        <w:t>In many charts, a candle is shown as one colour when the close is above the open and another when the close is below the open. Colours vary by charting tool, so always check the legend. One candle alone is not enough to justify an investment decision.</w:t>
      </w:r>
    </w:p>
    <w:p>
      <w:pPr>
        <w:pStyle w:val="Heading2"/>
      </w:pPr>
      <w:r>
        <w:t>Chart Practice — Fictional Data</w:t>
      </w:r>
    </w:p>
    <w:tbl>
      <w:tblPr>
        <w:tblStyle w:val="LightShading-Accent1"/>
        <w:tblW w:type="auto" w:w="0"/>
        <w:tblLook w:firstColumn="1" w:firstRow="1" w:lastColumn="0" w:lastRow="0" w:noHBand="0" w:noVBand="1" w:val="04A0"/>
      </w:tblPr>
      <w:tblGrid>
        <w:gridCol w:w="1987"/>
        <w:gridCol w:w="1987"/>
        <w:gridCol w:w="1987"/>
        <w:gridCol w:w="1987"/>
        <w:gridCol w:w="1987"/>
      </w:tblGrid>
      <w:tr>
        <w:tc>
          <w:tcPr>
            <w:tcW w:type="dxa" w:w="1987"/>
            <w:shd w:fill="C9D9EC"/>
          </w:tcPr>
          <w:p>
            <w:r/>
            <w:r>
              <w:rPr>
                <w:rFonts w:ascii="Aptos" w:hAnsi="Aptos"/>
                <w:b/>
                <w:sz w:val="18"/>
              </w:rPr>
              <w:t>Day</w:t>
            </w:r>
          </w:p>
        </w:tc>
        <w:tc>
          <w:tcPr>
            <w:tcW w:type="dxa" w:w="1987"/>
            <w:shd w:fill="C9D9EC"/>
          </w:tcPr>
          <w:p>
            <w:r/>
            <w:r>
              <w:rPr>
                <w:rFonts w:ascii="Aptos" w:hAnsi="Aptos"/>
                <w:b/>
                <w:sz w:val="18"/>
              </w:rPr>
              <w:t>Open</w:t>
            </w:r>
          </w:p>
        </w:tc>
        <w:tc>
          <w:tcPr>
            <w:tcW w:type="dxa" w:w="1987"/>
            <w:shd w:fill="C9D9EC"/>
          </w:tcPr>
          <w:p>
            <w:r/>
            <w:r>
              <w:rPr>
                <w:rFonts w:ascii="Aptos" w:hAnsi="Aptos"/>
                <w:b/>
                <w:sz w:val="18"/>
              </w:rPr>
              <w:t>High</w:t>
            </w:r>
          </w:p>
        </w:tc>
        <w:tc>
          <w:tcPr>
            <w:tcW w:type="dxa" w:w="1987"/>
            <w:shd w:fill="C9D9EC"/>
          </w:tcPr>
          <w:p>
            <w:r/>
            <w:r>
              <w:rPr>
                <w:rFonts w:ascii="Aptos" w:hAnsi="Aptos"/>
                <w:b/>
                <w:sz w:val="18"/>
              </w:rPr>
              <w:t>Low</w:t>
            </w:r>
          </w:p>
        </w:tc>
        <w:tc>
          <w:tcPr>
            <w:tcW w:type="dxa" w:w="1987"/>
            <w:shd w:fill="C9D9EC"/>
          </w:tcPr>
          <w:p>
            <w:r/>
            <w:r>
              <w:rPr>
                <w:rFonts w:ascii="Aptos" w:hAnsi="Aptos"/>
                <w:b/>
                <w:sz w:val="18"/>
              </w:rPr>
              <w:t>Close</w:t>
            </w:r>
          </w:p>
        </w:tc>
      </w:tr>
      <w:tr>
        <w:tc>
          <w:tcPr>
            <w:tcW w:type="dxa" w:w="1987"/>
          </w:tcPr>
          <w:p>
            <w:r/>
            <w:r>
              <w:rPr>
                <w:rFonts w:ascii="Aptos" w:hAnsi="Aptos"/>
                <w:b w:val="0"/>
                <w:sz w:val="18"/>
              </w:rPr>
              <w:t>1</w:t>
            </w:r>
          </w:p>
        </w:tc>
        <w:tc>
          <w:tcPr>
            <w:tcW w:type="dxa" w:w="1987"/>
          </w:tcPr>
          <w:p>
            <w:r/>
            <w:r>
              <w:rPr>
                <w:rFonts w:ascii="Aptos" w:hAnsi="Aptos"/>
                <w:b w:val="0"/>
                <w:sz w:val="18"/>
              </w:rPr>
              <w:t>₹100</w:t>
            </w:r>
          </w:p>
        </w:tc>
        <w:tc>
          <w:tcPr>
            <w:tcW w:type="dxa" w:w="1987"/>
          </w:tcPr>
          <w:p>
            <w:r/>
            <w:r>
              <w:rPr>
                <w:rFonts w:ascii="Aptos" w:hAnsi="Aptos"/>
                <w:b w:val="0"/>
                <w:sz w:val="18"/>
              </w:rPr>
              <w:t>₹106</w:t>
            </w:r>
          </w:p>
        </w:tc>
        <w:tc>
          <w:tcPr>
            <w:tcW w:type="dxa" w:w="1987"/>
          </w:tcPr>
          <w:p>
            <w:r/>
            <w:r>
              <w:rPr>
                <w:rFonts w:ascii="Aptos" w:hAnsi="Aptos"/>
                <w:b w:val="0"/>
                <w:sz w:val="18"/>
              </w:rPr>
              <w:t>₹98</w:t>
            </w:r>
          </w:p>
        </w:tc>
        <w:tc>
          <w:tcPr>
            <w:tcW w:type="dxa" w:w="1987"/>
          </w:tcPr>
          <w:p>
            <w:r/>
            <w:r>
              <w:rPr>
                <w:rFonts w:ascii="Aptos" w:hAnsi="Aptos"/>
                <w:b w:val="0"/>
                <w:sz w:val="18"/>
              </w:rPr>
              <w:t>₹104</w:t>
            </w:r>
          </w:p>
        </w:tc>
      </w:tr>
      <w:tr>
        <w:tc>
          <w:tcPr>
            <w:tcW w:type="dxa" w:w="1987"/>
          </w:tcPr>
          <w:p>
            <w:r/>
            <w:r>
              <w:rPr>
                <w:rFonts w:ascii="Aptos" w:hAnsi="Aptos"/>
                <w:b w:val="0"/>
                <w:sz w:val="18"/>
              </w:rPr>
              <w:t>2</w:t>
            </w:r>
          </w:p>
        </w:tc>
        <w:tc>
          <w:tcPr>
            <w:tcW w:type="dxa" w:w="1987"/>
          </w:tcPr>
          <w:p>
            <w:r/>
            <w:r>
              <w:rPr>
                <w:rFonts w:ascii="Aptos" w:hAnsi="Aptos"/>
                <w:b w:val="0"/>
                <w:sz w:val="18"/>
              </w:rPr>
              <w:t>₹104</w:t>
            </w:r>
          </w:p>
        </w:tc>
        <w:tc>
          <w:tcPr>
            <w:tcW w:type="dxa" w:w="1987"/>
          </w:tcPr>
          <w:p>
            <w:r/>
            <w:r>
              <w:rPr>
                <w:rFonts w:ascii="Aptos" w:hAnsi="Aptos"/>
                <w:b w:val="0"/>
                <w:sz w:val="18"/>
              </w:rPr>
              <w:t>₹105</w:t>
            </w:r>
          </w:p>
        </w:tc>
        <w:tc>
          <w:tcPr>
            <w:tcW w:type="dxa" w:w="1987"/>
          </w:tcPr>
          <w:p>
            <w:r/>
            <w:r>
              <w:rPr>
                <w:rFonts w:ascii="Aptos" w:hAnsi="Aptos"/>
                <w:b w:val="0"/>
                <w:sz w:val="18"/>
              </w:rPr>
              <w:t>₹99</w:t>
            </w:r>
          </w:p>
        </w:tc>
        <w:tc>
          <w:tcPr>
            <w:tcW w:type="dxa" w:w="1987"/>
          </w:tcPr>
          <w:p>
            <w:r/>
            <w:r>
              <w:rPr>
                <w:rFonts w:ascii="Aptos" w:hAnsi="Aptos"/>
                <w:b w:val="0"/>
                <w:sz w:val="18"/>
              </w:rPr>
              <w:t>₹100</w:t>
            </w:r>
          </w:p>
        </w:tc>
      </w:tr>
      <w:tr>
        <w:tc>
          <w:tcPr>
            <w:tcW w:type="dxa" w:w="1987"/>
          </w:tcPr>
          <w:p>
            <w:r/>
            <w:r>
              <w:rPr>
                <w:rFonts w:ascii="Aptos" w:hAnsi="Aptos"/>
                <w:b w:val="0"/>
                <w:sz w:val="18"/>
              </w:rPr>
              <w:t>3</w:t>
            </w:r>
          </w:p>
        </w:tc>
        <w:tc>
          <w:tcPr>
            <w:tcW w:type="dxa" w:w="1987"/>
          </w:tcPr>
          <w:p>
            <w:r/>
            <w:r>
              <w:rPr>
                <w:rFonts w:ascii="Aptos" w:hAnsi="Aptos"/>
                <w:b w:val="0"/>
                <w:sz w:val="18"/>
              </w:rPr>
              <w:t>₹100</w:t>
            </w:r>
          </w:p>
        </w:tc>
        <w:tc>
          <w:tcPr>
            <w:tcW w:type="dxa" w:w="1987"/>
          </w:tcPr>
          <w:p>
            <w:r/>
            <w:r>
              <w:rPr>
                <w:rFonts w:ascii="Aptos" w:hAnsi="Aptos"/>
                <w:b w:val="0"/>
                <w:sz w:val="18"/>
              </w:rPr>
              <w:t>₹103</w:t>
            </w:r>
          </w:p>
        </w:tc>
        <w:tc>
          <w:tcPr>
            <w:tcW w:type="dxa" w:w="1987"/>
          </w:tcPr>
          <w:p>
            <w:r/>
            <w:r>
              <w:rPr>
                <w:rFonts w:ascii="Aptos" w:hAnsi="Aptos"/>
                <w:b w:val="0"/>
                <w:sz w:val="18"/>
              </w:rPr>
              <w:t>₹97</w:t>
            </w:r>
          </w:p>
        </w:tc>
        <w:tc>
          <w:tcPr>
            <w:tcW w:type="dxa" w:w="1987"/>
          </w:tcPr>
          <w:p>
            <w:r/>
            <w:r>
              <w:rPr>
                <w:rFonts w:ascii="Aptos" w:hAnsi="Aptos"/>
                <w:b w:val="0"/>
                <w:sz w:val="18"/>
              </w:rPr>
              <w:t>₹102</w:t>
            </w:r>
          </w:p>
        </w:tc>
      </w:tr>
      <w:tr>
        <w:tc>
          <w:tcPr>
            <w:tcW w:type="dxa" w:w="1987"/>
          </w:tcPr>
          <w:p>
            <w:r/>
            <w:r>
              <w:rPr>
                <w:rFonts w:ascii="Aptos" w:hAnsi="Aptos"/>
                <w:b w:val="0"/>
                <w:sz w:val="18"/>
              </w:rPr>
              <w:t>4</w:t>
            </w:r>
          </w:p>
        </w:tc>
        <w:tc>
          <w:tcPr>
            <w:tcW w:type="dxa" w:w="1987"/>
          </w:tcPr>
          <w:p>
            <w:r/>
            <w:r>
              <w:rPr>
                <w:rFonts w:ascii="Aptos" w:hAnsi="Aptos"/>
                <w:b w:val="0"/>
                <w:sz w:val="18"/>
              </w:rPr>
              <w:t>₹102</w:t>
            </w:r>
          </w:p>
        </w:tc>
        <w:tc>
          <w:tcPr>
            <w:tcW w:type="dxa" w:w="1987"/>
          </w:tcPr>
          <w:p>
            <w:r/>
            <w:r>
              <w:rPr>
                <w:rFonts w:ascii="Aptos" w:hAnsi="Aptos"/>
                <w:b w:val="0"/>
                <w:sz w:val="18"/>
              </w:rPr>
              <w:t>₹108</w:t>
            </w:r>
          </w:p>
        </w:tc>
        <w:tc>
          <w:tcPr>
            <w:tcW w:type="dxa" w:w="1987"/>
          </w:tcPr>
          <w:p>
            <w:r/>
            <w:r>
              <w:rPr>
                <w:rFonts w:ascii="Aptos" w:hAnsi="Aptos"/>
                <w:b w:val="0"/>
                <w:sz w:val="18"/>
              </w:rPr>
              <w:t>₹101</w:t>
            </w:r>
          </w:p>
        </w:tc>
        <w:tc>
          <w:tcPr>
            <w:tcW w:type="dxa" w:w="1987"/>
          </w:tcPr>
          <w:p>
            <w:r/>
            <w:r>
              <w:rPr>
                <w:rFonts w:ascii="Aptos" w:hAnsi="Aptos"/>
                <w:b w:val="0"/>
                <w:sz w:val="18"/>
              </w:rPr>
              <w:t>₹107</w:t>
            </w:r>
          </w:p>
        </w:tc>
      </w:tr>
    </w:tbl>
    <w:p/>
    <w:p>
      <w:r>
        <w:t>Questions: Which day closed below its open? Which day had the highest close? Does the sequence prove that the price will rise on Day 5?</w:t>
      </w:r>
    </w:p>
    <w:p>
      <w:r>
        <w:t>Answer guide: Day 2 closed below its open. Day 4 had the highest close at ₹107. No. The data describe only the four fictional days shown; they do not establish a reliable prediction.</w:t>
      </w:r>
    </w:p>
    <w:p>
      <w:r>
        <w:t>The numbers above are invented for instruction and are not real market data. If VanQuest later uses a real historical chart, label the asset, exchange, currency, dates, data source, and any adjustments. Historical performance is not a guarantee of future results.</w:t>
      </w:r>
    </w:p>
    <w:p>
      <w:pPr>
        <w:pStyle w:val="Heading1"/>
      </w:pPr>
      <w:r>
        <w:t>Topic 10 — Market Fluctuations and Investor Discipline</w:t>
      </w:r>
    </w:p>
    <w:p>
      <w:r>
        <w:t>Markets move for many reasons, including company results, interest rates, economic conditions, investor expectations, and unexpected events. A price drop is not automatically proof that an asset is a bargain, and a price rise is not proof that it will keep rising.</w:t>
      </w:r>
    </w:p>
    <w:p>
      <w:r>
        <w:t>Discipline means following a reasoned process instead of reacting only to fear, excitement, social-media claims, or short-term price movements. For a classroom simulation, students should record their goal, reason for choosing an asset category, expected time horizon, key risk, and what information would make them reconsider.</w:t>
      </w:r>
    </w:p>
    <w:p>
      <w:pPr>
        <w:pStyle w:val="Heading2"/>
      </w:pPr>
      <w:r>
        <w:t>Common Decision Traps</w:t>
      </w:r>
    </w:p>
    <w:p>
      <w:pPr>
        <w:pStyle w:val="ListBullet"/>
      </w:pPr>
      <w:r>
        <w:t>Herd behaviour: copying a crowd without evaluating the reasons.</w:t>
      </w:r>
    </w:p>
    <w:p>
      <w:pPr>
        <w:pStyle w:val="ListBullet"/>
      </w:pPr>
      <w:r>
        <w:t>FOMO: buying because a price is rising and fearing that an opportunity will be missed.</w:t>
      </w:r>
    </w:p>
    <w:p>
      <w:pPr>
        <w:pStyle w:val="ListBullet"/>
      </w:pPr>
      <w:r>
        <w:t>Panic selling: reacting to a decline without checking the original goal and relevant facts.</w:t>
      </w:r>
    </w:p>
    <w:p>
      <w:pPr>
        <w:pStyle w:val="ListBullet"/>
      </w:pPr>
      <w:r>
        <w:t>Overconfidence: believing a few correct guesses prove that future choices will be correct.</w:t>
      </w:r>
    </w:p>
    <w:p>
      <w:pPr>
        <w:pStyle w:val="ListBullet"/>
      </w:pPr>
      <w:r>
        <w:t>Confirmation bias: noticing only information that supports an existing opinion.</w:t>
      </w:r>
    </w:p>
    <w:p>
      <w:pPr>
        <w:pStyle w:val="ListBullet"/>
      </w:pPr>
      <w:r>
        <w:t>Guaranteed-return claims: treating an extraordinary promise as proof rather than a warning sign.</w:t>
      </w:r>
    </w:p>
    <w:p>
      <w:pPr>
        <w:pStyle w:val="Heading1"/>
      </w:pPr>
      <w:r>
        <w:t>Topic 11 — Building a Hypothetical Portfolio in VanQuest</w:t>
      </w:r>
    </w:p>
    <w:p>
      <w:r>
        <w:t>Students receive fictional credits and select from clearly labelled asset categories. They must explain their choices using goals, time horizon, risk, diversification, and costs. The game should reward sound reasoning and reflection, not just the highest ending balance.</w:t>
      </w:r>
    </w:p>
    <w:p>
      <w:pPr>
        <w:pStyle w:val="Heading2"/>
      </w:pPr>
      <w:r>
        <w:t>Suggested Simulation Rules</w:t>
      </w:r>
    </w:p>
    <w:p>
      <w:pPr>
        <w:pStyle w:val="ListBullet"/>
      </w:pPr>
      <w:r>
        <w:t>Use fictional credits only; do not connect the game to brokerage accounts or real-money trading.</w:t>
      </w:r>
    </w:p>
    <w:p>
      <w:pPr>
        <w:pStyle w:val="ListBullet"/>
      </w:pPr>
      <w:r>
        <w:t>Display the risk and purpose of each fictional asset category before students choose.</w:t>
      </w:r>
    </w:p>
    <w:p>
      <w:pPr>
        <w:pStyle w:val="ListBullet"/>
      </w:pPr>
      <w:r>
        <w:t>Include both positive and negative market scenarios, with no guarantee that one strategy always wins.</w:t>
      </w:r>
    </w:p>
    <w:p>
      <w:pPr>
        <w:pStyle w:val="ListBullet"/>
      </w:pPr>
      <w:r>
        <w:t>Show transaction costs or fund fees where relevant.</w:t>
      </w:r>
    </w:p>
    <w:p>
      <w:pPr>
        <w:pStyle w:val="ListBullet"/>
      </w:pPr>
      <w:r>
        <w:t>Ask students to write a brief rationale before revealing the scenario outcome.</w:t>
      </w:r>
    </w:p>
    <w:p>
      <w:pPr>
        <w:pStyle w:val="ListBullet"/>
      </w:pPr>
      <w:r>
        <w:t>Score reasoning, diversification, risk awareness, and reflection separately from portfolio value.</w:t>
      </w:r>
    </w:p>
    <w:p>
      <w:pPr>
        <w:pStyle w:val="ListBullet"/>
      </w:pPr>
      <w:r>
        <w:t>Avoid leaderboards that reward extreme risk-taking or imply that a lucky short-term outcome demonstrates skill.</w:t>
      </w:r>
    </w:p>
    <w:p>
      <w:pPr>
        <w:pStyle w:val="Heading2"/>
      </w:pPr>
      <w:r>
        <w:t>Example Portfolio Decision</w:t>
      </w:r>
    </w:p>
    <w:p>
      <w:r>
        <w:t>A learner has 100 fictional credits for a long-term simulation. The learner chooses 50 credits in a broad share fund, 30 in a bond fund, and 20 in cash-like holdings. This is not a recommended allocation. It is a classroom example that students can evaluate by asking: What is the goal? What risks remain? Are the holdings meaningfully diversified? What costs apply? Would the same mix make sense for a goal due next month?</w:t>
      </w:r>
    </w:p>
    <w:p>
      <w:r>
        <w:t>Facilitator note: The game must not declare this example universally correct. Invite students to compare different hypothetical allocations and explain trade-offs.</w:t>
      </w:r>
    </w:p>
    <w:p>
      <w:pPr>
        <w:pStyle w:val="Heading1"/>
      </w:pPr>
      <w:r>
        <w:t>Integrated Case Study — Rohan’s First Investment Decision</w:t>
      </w:r>
    </w:p>
    <w:p>
      <w:r>
        <w:t>Rohan, a Grade 12 student, has ₹6,000 in fictional learning credits. In the case study, he expects to need ₹2,000 for a school-related expense in three months. The remaining amount is available only within the simulation for a long-term goal. A friend tells him that a single company’s share will certainly double because it has been trending online. The share has a volatile price history, and the friend has not checked the company’s information or costs.</w:t>
      </w:r>
    </w:p>
    <w:p>
      <w:pPr>
        <w:pStyle w:val="Heading2"/>
      </w:pPr>
      <w:r>
        <w:t>Student Tasks</w:t>
      </w:r>
    </w:p>
    <w:p>
      <w:pPr>
        <w:pStyle w:val="ListNumber"/>
      </w:pPr>
      <w:r>
        <w:t>Explain why the claim that the share will certainly double is unreliable.</w:t>
      </w:r>
    </w:p>
    <w:p>
      <w:pPr>
        <w:pStyle w:val="ListNumber"/>
      </w:pPr>
      <w:r>
        <w:t>Identify which part of Rohan’s money has a short time horizon.</w:t>
      </w:r>
    </w:p>
    <w:p>
      <w:pPr>
        <w:pStyle w:val="ListNumber"/>
      </w:pPr>
      <w:r>
        <w:t>Name at least three questions Rohan should ask before evaluating any investment.</w:t>
      </w:r>
    </w:p>
    <w:p>
      <w:pPr>
        <w:pStyle w:val="ListNumber"/>
      </w:pPr>
      <w:r>
        <w:t>Explain how diversification changes concentration risk without eliminating all risk.</w:t>
      </w:r>
    </w:p>
    <w:p>
      <w:pPr>
        <w:pStyle w:val="ListNumber"/>
      </w:pPr>
      <w:r>
        <w:t>List two costs that may affect investment outcomes.</w:t>
      </w:r>
    </w:p>
    <w:p>
      <w:pPr>
        <w:pStyle w:val="ListNumber"/>
      </w:pPr>
      <w:r>
        <w:t>Write a short decision note that avoids recommending a specific real-world product.</w:t>
      </w:r>
    </w:p>
    <w:p>
      <w:pPr>
        <w:pStyle w:val="Heading2"/>
      </w:pPr>
      <w:r>
        <w:t>Suggested Answer Guide</w:t>
      </w:r>
    </w:p>
    <w:p>
      <w:pPr>
        <w:pStyle w:val="ListBullet"/>
      </w:pPr>
      <w:r>
        <w:t>No one can guarantee a share price will double. Online popularity is not sufficient evidence, and prices can fall.</w:t>
      </w:r>
    </w:p>
    <w:p>
      <w:pPr>
        <w:pStyle w:val="ListBullet"/>
      </w:pPr>
      <w:r>
        <w:t>The ₹2,000 needed in three months has a short time horizon; it should not be exposed casually to market fluctuations.</w:t>
      </w:r>
    </w:p>
    <w:p>
      <w:pPr>
        <w:pStyle w:val="ListBullet"/>
      </w:pPr>
      <w:r>
        <w:t>Examples: What is the goal and time horizon? What does the asset represent? What risks could cause a loss? Is the portfolio concentrated? What fees or transaction costs apply? What reliable information supports the decision?</w:t>
      </w:r>
    </w:p>
    <w:p>
      <w:pPr>
        <w:pStyle w:val="ListBullet"/>
      </w:pPr>
      <w:r>
        <w:t>Diversification spreads exposure across holdings or asset categories and can reduce some asset-specific risk, but broad market losses can still affect multiple holdings.</w:t>
      </w:r>
    </w:p>
    <w:p>
      <w:pPr>
        <w:pStyle w:val="ListBullet"/>
      </w:pPr>
      <w:r>
        <w:t>Examples: fund expense ratio/management fee, brokerage, transaction charge, platform fee, bid–ask spread, and applicable taxes.</w:t>
      </w:r>
    </w:p>
    <w:p>
      <w:pPr>
        <w:pStyle w:val="ListBullet"/>
      </w:pPr>
      <w:r>
        <w:t>A strong note identifies the goal, separates short-term money from long-term simulation money, rejects guaranteed claims, considers risk and costs, and explains the limits of the information available.</w:t>
      </w:r>
    </w:p>
    <w:p>
      <w:pPr>
        <w:pStyle w:val="Heading1"/>
      </w:pPr>
      <w:r>
        <w:t>Knowledge Check</w:t>
      </w:r>
    </w:p>
    <w:p>
      <w:r>
        <w:rPr>
          <w:b/>
        </w:rPr>
        <w:t>1. Which statement best describes investing?</w:t>
      </w:r>
    </w:p>
    <w:p>
      <w:r>
        <w:t>Answer: Putting money into assets whose value or income may change in pursuit of a possible return.</w:t>
      </w:r>
    </w:p>
    <w:p>
      <w:r>
        <w:rPr>
          <w:b/>
        </w:rPr>
        <w:t>2. A fictional share rises from ₹80 to ₹88. What is its price return?</w:t>
      </w:r>
    </w:p>
    <w:p>
      <w:r>
        <w:t>Answer: [(88 − 80) ÷ 80] × 100 = 10%.</w:t>
      </w:r>
    </w:p>
    <w:p>
      <w:r>
        <w:rPr>
          <w:b/>
        </w:rPr>
        <w:t>3. A fund unit falls from ₹150 to ₹135. What is its price return?</w:t>
      </w:r>
    </w:p>
    <w:p>
      <w:r>
        <w:t>Answer: [(135 − 150) ÷ 150] × 100 = −10%.</w:t>
      </w:r>
    </w:p>
    <w:p>
      <w:r>
        <w:rPr>
          <w:b/>
        </w:rPr>
        <w:t>4. Does diversification eliminate all investment risk?</w:t>
      </w:r>
    </w:p>
    <w:p>
      <w:r>
        <w:t>Answer: No. It can reduce some concentration risk, but broad market and other risks remain.</w:t>
      </w:r>
    </w:p>
    <w:p>
      <w:r>
        <w:rPr>
          <w:b/>
        </w:rPr>
        <w:t>5. What is the difference between risk tolerance and risk capacity?</w:t>
      </w:r>
    </w:p>
    <w:p>
      <w:r>
        <w:t>Answer: Tolerance is emotional comfort with risk; capacity is the financial ability to withstand loss.</w:t>
      </w:r>
    </w:p>
    <w:p>
      <w:r>
        <w:rPr>
          <w:b/>
        </w:rPr>
        <w:t>6. Why do investment fees matter?</w:t>
      </w:r>
    </w:p>
    <w:p>
      <w:r>
        <w:t>Answer: They reduce the amount retained or left invested and can affect long-term outcomes.</w:t>
      </w:r>
    </w:p>
    <w:p>
      <w:r>
        <w:rPr>
          <w:b/>
        </w:rPr>
        <w:t>7. What does compounding mean?</w:t>
      </w:r>
    </w:p>
    <w:p>
      <w:r>
        <w:t>Answer: Returns remain invested and may themselves earn returns in later periods.</w:t>
      </w:r>
    </w:p>
    <w:p>
      <w:r>
        <w:rPr>
          <w:b/>
        </w:rPr>
        <w:t>8. Does a SIP guarantee profit?</w:t>
      </w:r>
    </w:p>
    <w:p>
      <w:r>
        <w:t>Answer: No. It is a regular contribution method; the investment can rise or fall.</w:t>
      </w:r>
    </w:p>
    <w:p>
      <w:r>
        <w:rPr>
          <w:b/>
        </w:rPr>
        <w:t>9. What can a candlestick tell you?</w:t>
      </w:r>
    </w:p>
    <w:p>
      <w:r>
        <w:t>Answer: It summarises open, high, low, and close for a period; it cannot reliably predict the next price.</w:t>
      </w:r>
    </w:p>
    <w:p>
      <w:r>
        <w:rPr>
          <w:b/>
        </w:rPr>
        <w:t>10. A social-media post promises a guaranteed 30% return in one month. What should a learner do?</w:t>
      </w:r>
    </w:p>
    <w:p>
      <w:r>
        <w:t>Answer: Treat the promise as a serious warning sign, avoid rushing, verify independently through reliable official sources, and seek trusted adult or qualified guidance before any real-world decision.</w:t>
      </w:r>
    </w:p>
    <w:p>
      <w:pPr>
        <w:pStyle w:val="Heading1"/>
      </w:pPr>
      <w:r>
        <w:t>Glossary</w:t>
      </w:r>
    </w:p>
    <w:tbl>
      <w:tblPr>
        <w:tblStyle w:val="LightShading-Accent1"/>
        <w:tblW w:type="auto" w:w="0"/>
        <w:tblLook w:firstColumn="1" w:firstRow="1" w:lastColumn="0" w:lastRow="0" w:noHBand="0" w:noVBand="1" w:val="04A0"/>
      </w:tblPr>
      <w:tblGrid>
        <w:gridCol w:w="4968"/>
        <w:gridCol w:w="4968"/>
      </w:tblGrid>
      <w:tr>
        <w:tc>
          <w:tcPr>
            <w:tcW w:type="dxa" w:w="4968"/>
            <w:shd w:fill="C9D9EC"/>
          </w:tcPr>
          <w:p>
            <w:r/>
            <w:r>
              <w:rPr>
                <w:rFonts w:ascii="Aptos" w:hAnsi="Aptos"/>
                <w:b/>
                <w:sz w:val="18"/>
              </w:rPr>
              <w:t>Term</w:t>
            </w:r>
          </w:p>
        </w:tc>
        <w:tc>
          <w:tcPr>
            <w:tcW w:type="dxa" w:w="4968"/>
            <w:shd w:fill="C9D9EC"/>
          </w:tcPr>
          <w:p>
            <w:r/>
            <w:r>
              <w:rPr>
                <w:rFonts w:ascii="Aptos" w:hAnsi="Aptos"/>
                <w:b/>
                <w:sz w:val="18"/>
              </w:rPr>
              <w:t>Definition</w:t>
            </w:r>
          </w:p>
        </w:tc>
      </w:tr>
      <w:tr>
        <w:tc>
          <w:tcPr>
            <w:tcW w:type="dxa" w:w="4968"/>
          </w:tcPr>
          <w:p>
            <w:r/>
            <w:r>
              <w:rPr>
                <w:rFonts w:ascii="Aptos" w:hAnsi="Aptos"/>
                <w:b w:val="0"/>
                <w:sz w:val="18"/>
              </w:rPr>
              <w:t>Asset</w:t>
            </w:r>
          </w:p>
        </w:tc>
        <w:tc>
          <w:tcPr>
            <w:tcW w:type="dxa" w:w="4968"/>
          </w:tcPr>
          <w:p>
            <w:r/>
            <w:r>
              <w:rPr>
                <w:rFonts w:ascii="Aptos" w:hAnsi="Aptos"/>
                <w:b w:val="0"/>
                <w:sz w:val="18"/>
              </w:rPr>
              <w:t>Something of value that may be owned, such as a share or bond.</w:t>
            </w:r>
          </w:p>
        </w:tc>
      </w:tr>
      <w:tr>
        <w:tc>
          <w:tcPr>
            <w:tcW w:type="dxa" w:w="4968"/>
          </w:tcPr>
          <w:p>
            <w:r/>
            <w:r>
              <w:rPr>
                <w:rFonts w:ascii="Aptos" w:hAnsi="Aptos"/>
                <w:b w:val="0"/>
                <w:sz w:val="18"/>
              </w:rPr>
              <w:t>Asset allocation</w:t>
            </w:r>
          </w:p>
        </w:tc>
        <w:tc>
          <w:tcPr>
            <w:tcW w:type="dxa" w:w="4968"/>
          </w:tcPr>
          <w:p>
            <w:r/>
            <w:r>
              <w:rPr>
                <w:rFonts w:ascii="Aptos" w:hAnsi="Aptos"/>
                <w:b w:val="0"/>
                <w:sz w:val="18"/>
              </w:rPr>
              <w:t>The division of a portfolio among categories of assets.</w:t>
            </w:r>
          </w:p>
        </w:tc>
      </w:tr>
      <w:tr>
        <w:tc>
          <w:tcPr>
            <w:tcW w:type="dxa" w:w="4968"/>
          </w:tcPr>
          <w:p>
            <w:r/>
            <w:r>
              <w:rPr>
                <w:rFonts w:ascii="Aptos" w:hAnsi="Aptos"/>
                <w:b w:val="0"/>
                <w:sz w:val="18"/>
              </w:rPr>
              <w:t>Bond</w:t>
            </w:r>
          </w:p>
        </w:tc>
        <w:tc>
          <w:tcPr>
            <w:tcW w:type="dxa" w:w="4968"/>
          </w:tcPr>
          <w:p>
            <w:r/>
            <w:r>
              <w:rPr>
                <w:rFonts w:ascii="Aptos" w:hAnsi="Aptos"/>
                <w:b w:val="0"/>
                <w:sz w:val="18"/>
              </w:rPr>
              <w:t>A debt instrument through which an issuer borrows under stated terms.</w:t>
            </w:r>
          </w:p>
        </w:tc>
      </w:tr>
      <w:tr>
        <w:tc>
          <w:tcPr>
            <w:tcW w:type="dxa" w:w="4968"/>
          </w:tcPr>
          <w:p>
            <w:r/>
            <w:r>
              <w:rPr>
                <w:rFonts w:ascii="Aptos" w:hAnsi="Aptos"/>
                <w:b w:val="0"/>
                <w:sz w:val="18"/>
              </w:rPr>
              <w:t>Candlestick</w:t>
            </w:r>
          </w:p>
        </w:tc>
        <w:tc>
          <w:tcPr>
            <w:tcW w:type="dxa" w:w="4968"/>
          </w:tcPr>
          <w:p>
            <w:r/>
            <w:r>
              <w:rPr>
                <w:rFonts w:ascii="Aptos" w:hAnsi="Aptos"/>
                <w:b w:val="0"/>
                <w:sz w:val="18"/>
              </w:rPr>
              <w:t>A chart symbol showing open, high, low, and close for a period.</w:t>
            </w:r>
          </w:p>
        </w:tc>
      </w:tr>
      <w:tr>
        <w:tc>
          <w:tcPr>
            <w:tcW w:type="dxa" w:w="4968"/>
          </w:tcPr>
          <w:p>
            <w:r/>
            <w:r>
              <w:rPr>
                <w:rFonts w:ascii="Aptos" w:hAnsi="Aptos"/>
                <w:b w:val="0"/>
                <w:sz w:val="18"/>
              </w:rPr>
              <w:t>Compounding</w:t>
            </w:r>
          </w:p>
        </w:tc>
        <w:tc>
          <w:tcPr>
            <w:tcW w:type="dxa" w:w="4968"/>
          </w:tcPr>
          <w:p>
            <w:r/>
            <w:r>
              <w:rPr>
                <w:rFonts w:ascii="Aptos" w:hAnsi="Aptos"/>
                <w:b w:val="0"/>
                <w:sz w:val="18"/>
              </w:rPr>
              <w:t>Earning returns on an amount that includes previously earned returns.</w:t>
            </w:r>
          </w:p>
        </w:tc>
      </w:tr>
      <w:tr>
        <w:tc>
          <w:tcPr>
            <w:tcW w:type="dxa" w:w="4968"/>
          </w:tcPr>
          <w:p>
            <w:r/>
            <w:r>
              <w:rPr>
                <w:rFonts w:ascii="Aptos" w:hAnsi="Aptos"/>
                <w:b w:val="0"/>
                <w:sz w:val="18"/>
              </w:rPr>
              <w:t>Diversification</w:t>
            </w:r>
          </w:p>
        </w:tc>
        <w:tc>
          <w:tcPr>
            <w:tcW w:type="dxa" w:w="4968"/>
          </w:tcPr>
          <w:p>
            <w:r/>
            <w:r>
              <w:rPr>
                <w:rFonts w:ascii="Aptos" w:hAnsi="Aptos"/>
                <w:b w:val="0"/>
                <w:sz w:val="18"/>
              </w:rPr>
              <w:t>Spreading exposure across different investments.</w:t>
            </w:r>
          </w:p>
        </w:tc>
      </w:tr>
      <w:tr>
        <w:tc>
          <w:tcPr>
            <w:tcW w:type="dxa" w:w="4968"/>
          </w:tcPr>
          <w:p>
            <w:r/>
            <w:r>
              <w:rPr>
                <w:rFonts w:ascii="Aptos" w:hAnsi="Aptos"/>
                <w:b w:val="0"/>
                <w:sz w:val="18"/>
              </w:rPr>
              <w:t>Dividend</w:t>
            </w:r>
          </w:p>
        </w:tc>
        <w:tc>
          <w:tcPr>
            <w:tcW w:type="dxa" w:w="4968"/>
          </w:tcPr>
          <w:p>
            <w:r/>
            <w:r>
              <w:rPr>
                <w:rFonts w:ascii="Aptos" w:hAnsi="Aptos"/>
                <w:b w:val="0"/>
                <w:sz w:val="18"/>
              </w:rPr>
              <w:t>A distribution a company may pay to shareholders; it is not guaranteed.</w:t>
            </w:r>
          </w:p>
        </w:tc>
      </w:tr>
      <w:tr>
        <w:tc>
          <w:tcPr>
            <w:tcW w:type="dxa" w:w="4968"/>
          </w:tcPr>
          <w:p>
            <w:r/>
            <w:r>
              <w:rPr>
                <w:rFonts w:ascii="Aptos" w:hAnsi="Aptos"/>
                <w:b w:val="0"/>
                <w:sz w:val="18"/>
              </w:rPr>
              <w:t>ETF</w:t>
            </w:r>
          </w:p>
        </w:tc>
        <w:tc>
          <w:tcPr>
            <w:tcW w:type="dxa" w:w="4968"/>
          </w:tcPr>
          <w:p>
            <w:r/>
            <w:r>
              <w:rPr>
                <w:rFonts w:ascii="Aptos" w:hAnsi="Aptos"/>
                <w:b w:val="0"/>
                <w:sz w:val="18"/>
              </w:rPr>
              <w:t>Exchange-traded fund; a fund whose units trade on an exchange.</w:t>
            </w:r>
          </w:p>
        </w:tc>
      </w:tr>
      <w:tr>
        <w:tc>
          <w:tcPr>
            <w:tcW w:type="dxa" w:w="4968"/>
          </w:tcPr>
          <w:p>
            <w:r/>
            <w:r>
              <w:rPr>
                <w:rFonts w:ascii="Aptos" w:hAnsi="Aptos"/>
                <w:b w:val="0"/>
                <w:sz w:val="18"/>
              </w:rPr>
              <w:t>Inflation</w:t>
            </w:r>
          </w:p>
        </w:tc>
        <w:tc>
          <w:tcPr>
            <w:tcW w:type="dxa" w:w="4968"/>
          </w:tcPr>
          <w:p>
            <w:r/>
            <w:r>
              <w:rPr>
                <w:rFonts w:ascii="Aptos" w:hAnsi="Aptos"/>
                <w:b w:val="0"/>
                <w:sz w:val="18"/>
              </w:rPr>
              <w:t>A general rise in prices that reduces purchasing power.</w:t>
            </w:r>
          </w:p>
        </w:tc>
      </w:tr>
      <w:tr>
        <w:tc>
          <w:tcPr>
            <w:tcW w:type="dxa" w:w="4968"/>
          </w:tcPr>
          <w:p>
            <w:r/>
            <w:r>
              <w:rPr>
                <w:rFonts w:ascii="Aptos" w:hAnsi="Aptos"/>
                <w:b w:val="0"/>
                <w:sz w:val="18"/>
              </w:rPr>
              <w:t>Liquidity</w:t>
            </w:r>
          </w:p>
        </w:tc>
        <w:tc>
          <w:tcPr>
            <w:tcW w:type="dxa" w:w="4968"/>
          </w:tcPr>
          <w:p>
            <w:r/>
            <w:r>
              <w:rPr>
                <w:rFonts w:ascii="Aptos" w:hAnsi="Aptos"/>
                <w:b w:val="0"/>
                <w:sz w:val="18"/>
              </w:rPr>
              <w:t>How easily an asset can be converted to cash without a large price concession.</w:t>
            </w:r>
          </w:p>
        </w:tc>
      </w:tr>
      <w:tr>
        <w:tc>
          <w:tcPr>
            <w:tcW w:type="dxa" w:w="4968"/>
          </w:tcPr>
          <w:p>
            <w:r/>
            <w:r>
              <w:rPr>
                <w:rFonts w:ascii="Aptos" w:hAnsi="Aptos"/>
                <w:b w:val="0"/>
                <w:sz w:val="18"/>
              </w:rPr>
              <w:t>Mutual fund</w:t>
            </w:r>
          </w:p>
        </w:tc>
        <w:tc>
          <w:tcPr>
            <w:tcW w:type="dxa" w:w="4968"/>
          </w:tcPr>
          <w:p>
            <w:r/>
            <w:r>
              <w:rPr>
                <w:rFonts w:ascii="Aptos" w:hAnsi="Aptos"/>
                <w:b w:val="0"/>
                <w:sz w:val="18"/>
              </w:rPr>
              <w:t>A pooled investment vehicle that follows a stated strategy.</w:t>
            </w:r>
          </w:p>
        </w:tc>
      </w:tr>
      <w:tr>
        <w:tc>
          <w:tcPr>
            <w:tcW w:type="dxa" w:w="4968"/>
          </w:tcPr>
          <w:p>
            <w:r/>
            <w:r>
              <w:rPr>
                <w:rFonts w:ascii="Aptos" w:hAnsi="Aptos"/>
                <w:b w:val="0"/>
                <w:sz w:val="18"/>
              </w:rPr>
              <w:t>Portfolio</w:t>
            </w:r>
          </w:p>
        </w:tc>
        <w:tc>
          <w:tcPr>
            <w:tcW w:type="dxa" w:w="4968"/>
          </w:tcPr>
          <w:p>
            <w:r/>
            <w:r>
              <w:rPr>
                <w:rFonts w:ascii="Aptos" w:hAnsi="Aptos"/>
                <w:b w:val="0"/>
                <w:sz w:val="18"/>
              </w:rPr>
              <w:t>A collection of investments.</w:t>
            </w:r>
          </w:p>
        </w:tc>
      </w:tr>
      <w:tr>
        <w:tc>
          <w:tcPr>
            <w:tcW w:type="dxa" w:w="4968"/>
          </w:tcPr>
          <w:p>
            <w:r/>
            <w:r>
              <w:rPr>
                <w:rFonts w:ascii="Aptos" w:hAnsi="Aptos"/>
                <w:b w:val="0"/>
                <w:sz w:val="18"/>
              </w:rPr>
              <w:t>Return</w:t>
            </w:r>
          </w:p>
        </w:tc>
        <w:tc>
          <w:tcPr>
            <w:tcW w:type="dxa" w:w="4968"/>
          </w:tcPr>
          <w:p>
            <w:r/>
            <w:r>
              <w:rPr>
                <w:rFonts w:ascii="Aptos" w:hAnsi="Aptos"/>
                <w:b w:val="0"/>
                <w:sz w:val="18"/>
              </w:rPr>
              <w:t>The gain or loss from an investment over a period.</w:t>
            </w:r>
          </w:p>
        </w:tc>
      </w:tr>
      <w:tr>
        <w:tc>
          <w:tcPr>
            <w:tcW w:type="dxa" w:w="4968"/>
          </w:tcPr>
          <w:p>
            <w:r/>
            <w:r>
              <w:rPr>
                <w:rFonts w:ascii="Aptos" w:hAnsi="Aptos"/>
                <w:b w:val="0"/>
                <w:sz w:val="18"/>
              </w:rPr>
              <w:t>Risk</w:t>
            </w:r>
          </w:p>
        </w:tc>
        <w:tc>
          <w:tcPr>
            <w:tcW w:type="dxa" w:w="4968"/>
          </w:tcPr>
          <w:p>
            <w:r/>
            <w:r>
              <w:rPr>
                <w:rFonts w:ascii="Aptos" w:hAnsi="Aptos"/>
                <w:b w:val="0"/>
                <w:sz w:val="18"/>
              </w:rPr>
              <w:t>The possibility of an outcome differing from expectations, including loss.</w:t>
            </w:r>
          </w:p>
        </w:tc>
      </w:tr>
      <w:tr>
        <w:tc>
          <w:tcPr>
            <w:tcW w:type="dxa" w:w="4968"/>
          </w:tcPr>
          <w:p>
            <w:r/>
            <w:r>
              <w:rPr>
                <w:rFonts w:ascii="Aptos" w:hAnsi="Aptos"/>
                <w:b w:val="0"/>
                <w:sz w:val="18"/>
              </w:rPr>
              <w:t>Share / stock</w:t>
            </w:r>
          </w:p>
        </w:tc>
        <w:tc>
          <w:tcPr>
            <w:tcW w:type="dxa" w:w="4968"/>
          </w:tcPr>
          <w:p>
            <w:r/>
            <w:r>
              <w:rPr>
                <w:rFonts w:ascii="Aptos" w:hAnsi="Aptos"/>
                <w:b w:val="0"/>
                <w:sz w:val="18"/>
              </w:rPr>
              <w:t>A unit of ownership in a company.</w:t>
            </w:r>
          </w:p>
        </w:tc>
      </w:tr>
      <w:tr>
        <w:tc>
          <w:tcPr>
            <w:tcW w:type="dxa" w:w="4968"/>
          </w:tcPr>
          <w:p>
            <w:r/>
            <w:r>
              <w:rPr>
                <w:rFonts w:ascii="Aptos" w:hAnsi="Aptos"/>
                <w:b w:val="0"/>
                <w:sz w:val="18"/>
              </w:rPr>
              <w:t>SIP</w:t>
            </w:r>
          </w:p>
        </w:tc>
        <w:tc>
          <w:tcPr>
            <w:tcW w:type="dxa" w:w="4968"/>
          </w:tcPr>
          <w:p>
            <w:r/>
            <w:r>
              <w:rPr>
                <w:rFonts w:ascii="Aptos" w:hAnsi="Aptos"/>
                <w:b w:val="0"/>
                <w:sz w:val="18"/>
              </w:rPr>
              <w:t>Systematic Investment Plan: a method of making regular investments, often into a mutual fund.</w:t>
            </w:r>
          </w:p>
        </w:tc>
      </w:tr>
      <w:tr>
        <w:tc>
          <w:tcPr>
            <w:tcW w:type="dxa" w:w="4968"/>
          </w:tcPr>
          <w:p>
            <w:r/>
            <w:r>
              <w:rPr>
                <w:rFonts w:ascii="Aptos" w:hAnsi="Aptos"/>
                <w:b w:val="0"/>
                <w:sz w:val="18"/>
              </w:rPr>
              <w:t>Time horizon</w:t>
            </w:r>
          </w:p>
        </w:tc>
        <w:tc>
          <w:tcPr>
            <w:tcW w:type="dxa" w:w="4968"/>
          </w:tcPr>
          <w:p>
            <w:r/>
            <w:r>
              <w:rPr>
                <w:rFonts w:ascii="Aptos" w:hAnsi="Aptos"/>
                <w:b w:val="0"/>
                <w:sz w:val="18"/>
              </w:rPr>
              <w:t>The period before money is expected to be needed.</w:t>
            </w:r>
          </w:p>
        </w:tc>
      </w:tr>
      <w:tr>
        <w:tc>
          <w:tcPr>
            <w:tcW w:type="dxa" w:w="4968"/>
          </w:tcPr>
          <w:p>
            <w:r/>
            <w:r>
              <w:rPr>
                <w:rFonts w:ascii="Aptos" w:hAnsi="Aptos"/>
                <w:b w:val="0"/>
                <w:sz w:val="18"/>
              </w:rPr>
              <w:t>Volatility</w:t>
            </w:r>
          </w:p>
        </w:tc>
        <w:tc>
          <w:tcPr>
            <w:tcW w:type="dxa" w:w="4968"/>
          </w:tcPr>
          <w:p>
            <w:r/>
            <w:r>
              <w:rPr>
                <w:rFonts w:ascii="Aptos" w:hAnsi="Aptos"/>
                <w:b w:val="0"/>
                <w:sz w:val="18"/>
              </w:rPr>
              <w:t>The degree to which a price changes over time.</w:t>
            </w:r>
          </w:p>
        </w:tc>
      </w:tr>
    </w:tbl>
    <w:p/>
    <w:p>
      <w:pPr>
        <w:pStyle w:val="Heading1"/>
      </w:pPr>
      <w:r>
        <w:t>Facilitator Notes and Implementation Guidance</w:t>
      </w:r>
    </w:p>
    <w:p>
      <w:pPr>
        <w:pStyle w:val="ListBullet"/>
      </w:pPr>
      <w:r>
        <w:t>Teach the difference between an investment concept and a recommendation. Do not tell students which real product to buy.</w:t>
      </w:r>
    </w:p>
    <w:p>
      <w:pPr>
        <w:pStyle w:val="ListBullet"/>
      </w:pPr>
      <w:r>
        <w:t>Use fictional companies and fictional prices for game decisions unless a real historical data set has been checked, dated, and cited.</w:t>
      </w:r>
    </w:p>
    <w:p>
      <w:pPr>
        <w:pStyle w:val="ListBullet"/>
      </w:pPr>
      <w:r>
        <w:t>Never frame the simulation as a way to predict markets or get rich quickly.</w:t>
      </w:r>
    </w:p>
    <w:p>
      <w:pPr>
        <w:pStyle w:val="ListBullet"/>
      </w:pPr>
      <w:r>
        <w:t>Reward explanation, caution, comparison, and learning from mistakes—not only a high simulated return.</w:t>
      </w:r>
    </w:p>
    <w:p>
      <w:pPr>
        <w:pStyle w:val="ListBullet"/>
      </w:pPr>
      <w:r>
        <w:t>Adapt examples to Indian financial context. Check current Indian regulatory, tax, deposit-protection, and product details from authoritative sources before adding legal or product-specific claims.</w:t>
      </w:r>
    </w:p>
    <w:p>
      <w:pPr>
        <w:pStyle w:val="ListBullet"/>
      </w:pPr>
      <w:r>
        <w:t>Do not ask students to disclose real household income, family debts, bank balances, account numbers, passwords, OTPs, or investments. Use fictional case studies.</w:t>
      </w:r>
    </w:p>
    <w:p>
      <w:pPr>
        <w:pStyle w:val="ListBullet"/>
      </w:pPr>
      <w:r>
        <w:t>Explain that students under 18 may face different rules for financial accounts and products; any real-world account opening or investment action requires appropriate adult involvement and compliance with current rules.</w:t>
      </w:r>
    </w:p>
    <w:p>
      <w:pPr>
        <w:pStyle w:val="ListBullet"/>
      </w:pPr>
      <w:r>
        <w:t>Make accessibility and language support part of delivery: define technical terms, use visual examples, and provide local-language explanations where available.</w:t>
      </w:r>
    </w:p>
    <w:p>
      <w:pPr>
        <w:pStyle w:val="ListBullet"/>
      </w:pPr>
      <w:r>
        <w:t>If a market simulation includes shocks, ensure outcomes are educational and balanced. Avoid implying that a single short scenario demonstrates the quality of a real investment strategy.</w:t>
      </w:r>
    </w:p>
    <w:p>
      <w:pPr>
        <w:pStyle w:val="Heading1"/>
      </w:pPr>
      <w:r>
        <w:t>Alignment and Source Notes</w:t>
      </w:r>
    </w:p>
    <w:p>
      <w:r>
        <w:t>This is an original VanQuest learning guide. It is not an official Vanguard course, and VanQuest is not presented as endorsed by Vanguard. The course is independently authored around common financial-literacy concepts and broad themes publicly described by Vanguard, especially goals, balance, cost, discipline, and long-term investing. Topics such as Indian SIP terminology, candlestick chart reading, and the VanQuest portfolio game are VanQuest additions for local learning and game design.</w:t>
      </w:r>
    </w:p>
    <w:p>
      <w:r>
        <w:t>Public references for context:</w:t>
      </w:r>
    </w:p>
    <w:p>
      <w:pPr>
        <w:pStyle w:val="ListBullet"/>
      </w:pPr>
      <w:r>
        <w:t>Vanguard My Classroom Investor launch announcement: https://corporate.vanguard.com/content/corporatesite/us/en/corp/who-we-are/pressroom/press-release-vanguard-launches-my-classroomon-investor-to-help-students-build-real-world-investing-skills-071626.html</w:t>
      </w:r>
    </w:p>
    <w:p>
      <w:pPr>
        <w:pStyle w:val="ListBullet"/>
      </w:pPr>
      <w:r>
        <w:t>Vanguard My Classroom Economy, Grades 11–12: https://myclassroomeconomy.org/en/grades11-12</w:t>
      </w:r>
    </w:p>
    <w:p>
      <w:pPr>
        <w:pStyle w:val="ListBullet"/>
      </w:pPr>
      <w:r>
        <w:t>National Centre for Financial Education (India): https://ncfe.org.in/</w:t>
      </w:r>
    </w:p>
    <w:p>
      <w:r>
        <w:t>Source boundary: These references provide context and publicly described program goals. They do not establish that this document’s topic sequence, examples, questions, or game mechanics are official Vanguard lesson content.</w:t>
      </w:r>
    </w:p>
    <w:p>
      <w:pPr>
        <w:pStyle w:val="Heading1"/>
      </w:pPr>
      <w:r>
        <w:t>End-of-Course Reflection</w:t>
      </w:r>
    </w:p>
    <w:p>
      <w:pPr>
        <w:pStyle w:val="ListBullet"/>
      </w:pPr>
      <w:r>
        <w:t>What is one important difference between saving and investing?</w:t>
      </w:r>
    </w:p>
    <w:p>
      <w:pPr>
        <w:pStyle w:val="ListBullet"/>
      </w:pPr>
      <w:r>
        <w:t>Which risk concept became clearer to you, and why?</w:t>
      </w:r>
    </w:p>
    <w:p>
      <w:pPr>
        <w:pStyle w:val="ListBullet"/>
      </w:pPr>
      <w:r>
        <w:t>How can diversification help, and what can it not do?</w:t>
      </w:r>
    </w:p>
    <w:p>
      <w:pPr>
        <w:pStyle w:val="ListBullet"/>
      </w:pPr>
      <w:r>
        <w:t>What would you check before trusting a claim about an investment?</w:t>
      </w:r>
    </w:p>
    <w:p>
      <w:pPr>
        <w:pStyle w:val="ListBullet"/>
      </w:pPr>
      <w:r>
        <w:t>What decision in the simulation would you change after reflecting on the outcome?</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473"/>
        <w:sz w:val="16"/>
      </w:rPr>
      <w:t>Original VanQuest educational material • Not an official Vanguard course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6473"/>
        <w:sz w:val="16"/>
      </w:rPr>
      <w:t>VANQUEST  |  CORE COURSE 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9304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9304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9304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9304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