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8E"/>
          <w:sz w:val="44"/>
        </w:rPr>
        <w:t>CEO Q&amp;A Cheat Sheet</w:t>
      </w:r>
    </w:p>
    <w:p>
      <w:pPr>
        <w:jc w:val="center"/>
      </w:pPr>
      <w:r>
        <w:rPr>
          <w:color w:val="64748B"/>
          <w:sz w:val="24"/>
        </w:rPr>
        <w:t>Internal reference for MITRIXS — not for distribution</w:t>
      </w:r>
    </w:p>
    <w:p>
      <w:r>
        <w:rPr>
          <w:b/>
          <w:color w:val="1A568E"/>
          <w:sz w:val="28"/>
        </w:rPr>
        <w:t>Q: Why not fix our current sales software?</w:t>
      </w:r>
    </w:p>
    <w:p>
      <w:r>
        <w:rPr>
          <w:color w:val="1E293B"/>
          <w:sz w:val="22"/>
        </w:rPr>
        <w:t>A: It doesn't support distributor PDF ingestion. We build the missing layer; integration can follow.</w:t>
      </w:r>
    </w:p>
    <w:p>
      <w:r>
        <w:rPr>
          <w:b/>
          <w:color w:val="1A568E"/>
          <w:sz w:val="28"/>
        </w:rPr>
        <w:t>Q: Can you handle all 48 distributors?</w:t>
      </w:r>
    </w:p>
    <w:p>
      <w:r>
        <w:rPr>
          <w:color w:val="1E293B"/>
          <w:sz w:val="22"/>
        </w:rPr>
        <w:t>A: Yes, incrementally. Go-live with highest-volume templates; add 2–4 per week. Trial proved the engine; templates are configuration work.</w:t>
      </w:r>
    </w:p>
    <w:p>
      <w:r>
        <w:rPr>
          <w:b/>
          <w:color w:val="1A568E"/>
          <w:sz w:val="28"/>
        </w:rPr>
        <w:t>Q: What if accuracy isn't 100%?</w:t>
      </w:r>
    </w:p>
    <w:p>
      <w:r>
        <w:rPr>
          <w:color w:val="1E293B"/>
          <w:sz w:val="22"/>
        </w:rPr>
        <w:t>A: Neither is manual entry. Exceptions go to a review screen; approved mappings are reused. Target ≥85–90% auto-match on mature templates.</w:t>
      </w:r>
    </w:p>
    <w:p>
      <w:r>
        <w:rPr>
          <w:b/>
          <w:color w:val="1A568E"/>
          <w:sz w:val="28"/>
        </w:rPr>
        <w:t>Q: What about data security?</w:t>
      </w:r>
    </w:p>
    <w:p>
      <w:r>
        <w:rPr>
          <w:color w:val="1E293B"/>
          <w:sz w:val="22"/>
        </w:rPr>
        <w:t>A: Role-based access, encrypted storage, audit logs, HTTPS. Hosting per your policy. Phase 1 includes enterprise baseline security.</w:t>
      </w:r>
    </w:p>
    <w:p>
      <w:r>
        <w:rPr>
          <w:b/>
          <w:color w:val="1A568E"/>
          <w:sz w:val="28"/>
        </w:rPr>
        <w:t>Q: Why MITRIXS?</w:t>
      </w:r>
    </w:p>
    <w:p>
      <w:r>
        <w:rPr>
          <w:color w:val="1E293B"/>
          <w:sz w:val="22"/>
        </w:rPr>
        <w:t>A: We already built a working demo on your PDFs and SSR. Your team tested it. Phase 1 is a natural extension, not a greenfield gamble.</w:t>
      </w:r>
    </w:p>
    <w:p>
      <w:r>
        <w:rPr>
          <w:b/>
          <w:color w:val="1A568E"/>
          <w:sz w:val="28"/>
        </w:rPr>
        <w:t>Q: What if we only want reporting, not ERP?</w:t>
      </w:r>
    </w:p>
    <w:p>
      <w:r>
        <w:rPr>
          <w:color w:val="1E293B"/>
          <w:sz w:val="22"/>
        </w:rPr>
        <w:t>A: Phase 1 is reporting only. ERP modules are optional future phases — no commitment today.</w:t>
      </w:r>
    </w:p>
    <w:p>
      <w:r>
        <w:rPr>
          <w:b/>
          <w:color w:val="1A568E"/>
          <w:sz w:val="28"/>
        </w:rPr>
        <w:t>Q: What's the risk?</w:t>
      </w:r>
    </w:p>
    <w:p>
      <w:r>
        <w:rPr>
          <w:color w:val="1E293B"/>
          <w:sz w:val="22"/>
        </w:rPr>
        <w:t>A: Low: POC done, phased payments, clear acceptance criteria, UAT before final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