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8E"/>
          <w:sz w:val="44"/>
        </w:rPr>
        <w:t>CEO Meeting Agenda</w:t>
      </w:r>
    </w:p>
    <w:p>
      <w:pPr>
        <w:jc w:val="center"/>
      </w:pPr>
      <w:r>
        <w:rPr>
          <w:color w:val="64748B"/>
          <w:sz w:val="24"/>
        </w:rPr>
        <w:t>Medicronis — Distributor Sales Reporting Platform · Phase 1 Approval</w:t>
      </w:r>
    </w:p>
    <w:p>
      <w:r>
        <w:rPr>
          <w:color w:val="1E293B"/>
          <w:sz w:val="22"/>
        </w:rPr>
        <w:t>Duration: 45 minutes</w:t>
      </w:r>
    </w:p>
    <w:p>
      <w:r>
        <w:rPr>
          <w:color w:val="1E293B"/>
          <w:sz w:val="22"/>
        </w:rPr>
        <w:t>Attendees: CEO, [project sponsor], [daily user / ops lead], MITRIXS (Abid Ali)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Topic</w:t>
            </w:r>
          </w:p>
        </w:tc>
      </w:tr>
      <w:tr>
        <w:tc>
          <w:tcPr>
            <w:tcW w:type="dxa" w:w="4320"/>
          </w:tcPr>
          <w:p>
            <w:r>
              <w:t>0–5 min</w:t>
            </w:r>
          </w:p>
        </w:tc>
        <w:tc>
          <w:tcPr>
            <w:tcW w:type="dxa" w:w="4320"/>
          </w:tcPr>
          <w:p>
            <w:r>
              <w:t>Problem recap — manual PDF processing, daily FTE cost</w:t>
            </w:r>
          </w:p>
        </w:tc>
      </w:tr>
      <w:tr>
        <w:tc>
          <w:tcPr>
            <w:tcW w:type="dxa" w:w="4320"/>
          </w:tcPr>
          <w:p>
            <w:r>
              <w:t>5–15 min</w:t>
            </w:r>
          </w:p>
        </w:tc>
        <w:tc>
          <w:tcPr>
            <w:tcW w:type="dxa" w:w="4320"/>
          </w:tcPr>
          <w:p>
            <w:r>
              <w:t>Trial results &amp; live recap (5 min demo optional)</w:t>
            </w:r>
          </w:p>
        </w:tc>
      </w:tr>
      <w:tr>
        <w:tc>
          <w:tcPr>
            <w:tcW w:type="dxa" w:w="4320"/>
          </w:tcPr>
          <w:p>
            <w:r>
              <w:t>15–25 min</w:t>
            </w:r>
          </w:p>
        </w:tc>
        <w:tc>
          <w:tcPr>
            <w:tcW w:type="dxa" w:w="4320"/>
          </w:tcPr>
          <w:p>
            <w:r>
              <w:t>Phase 1 solution, scope, rollout plan</w:t>
            </w:r>
          </w:p>
        </w:tc>
      </w:tr>
      <w:tr>
        <w:tc>
          <w:tcPr>
            <w:tcW w:type="dxa" w:w="4320"/>
          </w:tcPr>
          <w:p>
            <w:r>
              <w:t>25–35 min</w:t>
            </w:r>
          </w:p>
        </w:tc>
        <w:tc>
          <w:tcPr>
            <w:tcW w:type="dxa" w:w="4320"/>
          </w:tcPr>
          <w:p>
            <w:r>
              <w:t>Business case, investment, success metrics</w:t>
            </w:r>
          </w:p>
        </w:tc>
      </w:tr>
      <w:tr>
        <w:tc>
          <w:tcPr>
            <w:tcW w:type="dxa" w:w="4320"/>
          </w:tcPr>
          <w:p>
            <w:r>
              <w:t>35–45 min</w:t>
            </w:r>
          </w:p>
        </w:tc>
        <w:tc>
          <w:tcPr>
            <w:tcW w:type="dxa" w:w="4320"/>
          </w:tcPr>
          <w:p>
            <w:r>
              <w:t>Q&amp;A, decision, next steps</w:t>
            </w:r>
          </w:p>
        </w:tc>
      </w:tr>
    </w:tbl>
    <w:p/>
    <w:p>
      <w:r>
        <w:rPr>
          <w:b/>
          <w:color w:val="1A568E"/>
          <w:sz w:val="28"/>
        </w:rPr>
        <w:t>Materials Attached</w:t>
      </w:r>
    </w:p>
    <w:p>
      <w:pPr>
        <w:pStyle w:val="ListBullet"/>
      </w:pPr>
      <w:r>
        <w:rPr>
          <w:color w:val="1E293B"/>
          <w:sz w:val="22"/>
        </w:rPr>
        <w:t>Executive one-pager</w:t>
      </w:r>
    </w:p>
    <w:p>
      <w:pPr>
        <w:pStyle w:val="ListBullet"/>
      </w:pPr>
      <w:r>
        <w:rPr>
          <w:color w:val="1E293B"/>
          <w:sz w:val="22"/>
        </w:rPr>
        <w:t>Phase 1 scope</w:t>
      </w:r>
    </w:p>
    <w:p>
      <w:pPr>
        <w:pStyle w:val="ListBullet"/>
      </w:pPr>
      <w:r>
        <w:rPr>
          <w:color w:val="1E293B"/>
          <w:sz w:val="22"/>
        </w:rPr>
        <w:t>Commercial summary</w:t>
      </w:r>
    </w:p>
    <w:p>
      <w:r>
        <w:rPr>
          <w:b/>
          <w:color w:val="1A568E"/>
          <w:sz w:val="28"/>
        </w:rPr>
        <w:t>Decision Needed</w:t>
      </w:r>
    </w:p>
    <w:p>
      <w:r>
        <w:rPr>
          <w:color w:val="1E293B"/>
          <w:sz w:val="22"/>
        </w:rPr>
        <w:t>Approve Phase 1 development and milestone-based engagement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