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8E"/>
          <w:sz w:val="44"/>
        </w:rPr>
        <w:t>Phase 1 — Scope of Work</w:t>
      </w:r>
    </w:p>
    <w:p>
      <w:pPr>
        <w:jc w:val="center"/>
      </w:pPr>
      <w:r>
        <w:rPr>
          <w:color w:val="64748B"/>
          <w:sz w:val="24"/>
        </w:rPr>
        <w:t>Medicronis Distributor Sales Intelligence Platform · Version 1.0</w:t>
      </w:r>
    </w:p>
    <w:p>
      <w:r>
        <w:rPr>
          <w:b/>
          <w:color w:val="1A568E"/>
          <w:sz w:val="28"/>
        </w:rPr>
        <w:t>1. Background</w:t>
      </w:r>
    </w:p>
    <w:p>
      <w:r>
        <w:rPr>
          <w:color w:val="1E293B"/>
          <w:sz w:val="22"/>
        </w:rPr>
        <w:t>Medicronis requires automation of distributor PDF sales report processing and SSR generation. Phase 1 addresses this specific operational gap without replacing existing systems.</w:t>
      </w:r>
    </w:p>
    <w:p>
      <w:r>
        <w:rPr>
          <w:b/>
          <w:color w:val="1A568E"/>
          <w:sz w:val="28"/>
        </w:rPr>
        <w:t>2. Objectives</w:t>
      </w:r>
    </w:p>
    <w:p>
      <w:pPr>
        <w:pStyle w:val="ListBullet"/>
      </w:pPr>
      <w:r>
        <w:rPr>
          <w:color w:val="1E293B"/>
          <w:sz w:val="22"/>
        </w:rPr>
        <w:t>Eliminate manual re-entry of distributor PDF data where possible</w:t>
      </w:r>
    </w:p>
    <w:p>
      <w:pPr>
        <w:pStyle w:val="ListBullet"/>
      </w:pPr>
      <w:r>
        <w:rPr>
          <w:color w:val="1E293B"/>
          <w:sz w:val="22"/>
        </w:rPr>
        <w:t>Generate SSR in Medicronis-approved format</w:t>
      </w:r>
    </w:p>
    <w:p>
      <w:pPr>
        <w:pStyle w:val="ListBullet"/>
      </w:pPr>
      <w:r>
        <w:rPr>
          <w:color w:val="1E293B"/>
          <w:sz w:val="22"/>
        </w:rPr>
        <w:t>Provide exception-based human validation</w:t>
      </w:r>
    </w:p>
    <w:p>
      <w:pPr>
        <w:pStyle w:val="ListBullet"/>
      </w:pPr>
      <w:r>
        <w:rPr>
          <w:color w:val="1E293B"/>
          <w:sz w:val="22"/>
        </w:rPr>
        <w:t>Establish centralized sales data for reporting</w:t>
      </w:r>
    </w:p>
    <w:p>
      <w:r>
        <w:rPr>
          <w:b/>
          <w:color w:val="1A568E"/>
          <w:sz w:val="28"/>
        </w:rPr>
        <w:t>3. Functional Requirements</w:t>
      </w:r>
    </w:p>
    <w:p>
      <w:r>
        <w:rPr>
          <w:color w:val="1E293B"/>
          <w:sz w:val="22"/>
        </w:rPr>
        <w:t>3.1 User Management</w:t>
      </w:r>
    </w:p>
    <w:p>
      <w:pPr>
        <w:pStyle w:val="ListBullet"/>
      </w:pPr>
      <w:r>
        <w:rPr>
          <w:color w:val="1E293B"/>
          <w:sz w:val="22"/>
        </w:rPr>
        <w:t>Login, roles (Admin, Operator, Viewer)</w:t>
      </w:r>
    </w:p>
    <w:p>
      <w:pPr>
        <w:pStyle w:val="ListBullet"/>
      </w:pPr>
      <w:r>
        <w:rPr>
          <w:color w:val="1E293B"/>
          <w:sz w:val="22"/>
        </w:rPr>
        <w:t>Activity logging</w:t>
      </w:r>
    </w:p>
    <w:p>
      <w:r>
        <w:rPr>
          <w:color w:val="1E293B"/>
          <w:sz w:val="22"/>
        </w:rPr>
        <w:t>3.2 Master Data</w:t>
      </w:r>
    </w:p>
    <w:p>
      <w:pPr>
        <w:pStyle w:val="ListBullet"/>
      </w:pPr>
      <w:r>
        <w:rPr>
          <w:color w:val="1E293B"/>
          <w:sz w:val="22"/>
        </w:rPr>
        <w:t>Distributor profiles, document template configuration</w:t>
      </w:r>
    </w:p>
    <w:p>
      <w:pPr>
        <w:pStyle w:val="ListBullet"/>
      </w:pPr>
      <w:r>
        <w:rPr>
          <w:color w:val="1E293B"/>
          <w:sz w:val="22"/>
        </w:rPr>
        <w:t>Product master (import from client-provided source)</w:t>
      </w:r>
    </w:p>
    <w:p>
      <w:r>
        <w:rPr>
          <w:color w:val="1E293B"/>
          <w:sz w:val="22"/>
        </w:rPr>
        <w:t>3.3 Document Processing</w:t>
      </w:r>
    </w:p>
    <w:p>
      <w:pPr>
        <w:pStyle w:val="ListBullet"/>
      </w:pPr>
      <w:r>
        <w:rPr>
          <w:color w:val="1E293B"/>
          <w:sz w:val="22"/>
        </w:rPr>
        <w:t>PDF upload (single/bulk), duplicate detection</w:t>
      </w:r>
    </w:p>
    <w:p>
      <w:pPr>
        <w:pStyle w:val="ListBullet"/>
      </w:pPr>
      <w:r>
        <w:rPr>
          <w:color w:val="1E293B"/>
          <w:sz w:val="22"/>
        </w:rPr>
        <w:t>Text/table extraction; OCR for scanned documents</w:t>
      </w:r>
    </w:p>
    <w:p>
      <w:pPr>
        <w:pStyle w:val="ListBullet"/>
      </w:pPr>
      <w:r>
        <w:rPr>
          <w:color w:val="1E293B"/>
          <w:sz w:val="22"/>
        </w:rPr>
        <w:t>Distributor auto-identification where configured</w:t>
      </w:r>
    </w:p>
    <w:p>
      <w:r>
        <w:rPr>
          <w:color w:val="1E293B"/>
          <w:sz w:val="22"/>
        </w:rPr>
        <w:t>3.4 Product Matching</w:t>
      </w:r>
    </w:p>
    <w:p>
      <w:pPr>
        <w:pStyle w:val="ListBullet"/>
      </w:pPr>
      <w:r>
        <w:rPr>
          <w:color w:val="1E293B"/>
          <w:sz w:val="22"/>
        </w:rPr>
        <w:t>Exact, code-based, and fuzzy matching</w:t>
      </w:r>
    </w:p>
    <w:p>
      <w:pPr>
        <w:pStyle w:val="ListBullet"/>
      </w:pPr>
      <w:r>
        <w:rPr>
          <w:color w:val="1E293B"/>
          <w:sz w:val="22"/>
        </w:rPr>
        <w:t>Manual review queue; saved mappings for reuse</w:t>
      </w:r>
    </w:p>
    <w:p>
      <w:r>
        <w:rPr>
          <w:color w:val="1E293B"/>
          <w:sz w:val="22"/>
        </w:rPr>
        <w:t>3.5 Reporting</w:t>
      </w:r>
    </w:p>
    <w:p>
      <w:pPr>
        <w:pStyle w:val="ListBullet"/>
      </w:pPr>
      <w:r>
        <w:rPr>
          <w:color w:val="1E293B"/>
          <w:sz w:val="22"/>
        </w:rPr>
        <w:t>SSR per agreed template</w:t>
      </w:r>
    </w:p>
    <w:p>
      <w:pPr>
        <w:pStyle w:val="ListBullet"/>
      </w:pPr>
      <w:r>
        <w:rPr>
          <w:color w:val="1E293B"/>
          <w:sz w:val="22"/>
        </w:rPr>
        <w:t>Excel and PDF export</w:t>
      </w:r>
    </w:p>
    <w:p>
      <w:r>
        <w:rPr>
          <w:color w:val="1E293B"/>
          <w:sz w:val="22"/>
        </w:rPr>
        <w:t>3.6 Dashboard</w:t>
      </w:r>
    </w:p>
    <w:p>
      <w:pPr>
        <w:pStyle w:val="ListBullet"/>
      </w:pPr>
      <w:r>
        <w:rPr>
          <w:color w:val="1E293B"/>
          <w:sz w:val="22"/>
        </w:rPr>
        <w:t>Total sales, distributor count, processing status, exceptions pending</w:t>
      </w:r>
    </w:p>
    <w:p>
      <w:r>
        <w:rPr>
          <w:b/>
          <w:color w:val="1A568E"/>
          <w:sz w:val="28"/>
        </w:rPr>
        <w:t>4. Client Responsibilities</w:t>
      </w:r>
    </w:p>
    <w:p>
      <w:pPr>
        <w:pStyle w:val="ListBullet"/>
      </w:pPr>
      <w:r>
        <w:rPr>
          <w:color w:val="1E293B"/>
          <w:sz w:val="22"/>
        </w:rPr>
        <w:t>Provide SSR template and sample outputs</w:t>
      </w:r>
    </w:p>
    <w:p>
      <w:pPr>
        <w:pStyle w:val="ListBullet"/>
      </w:pPr>
      <w:r>
        <w:rPr>
          <w:color w:val="1E293B"/>
          <w:sz w:val="22"/>
        </w:rPr>
        <w:t>Provide product master data</w:t>
      </w:r>
    </w:p>
    <w:p>
      <w:pPr>
        <w:pStyle w:val="ListBullet"/>
      </w:pPr>
      <w:r>
        <w:rPr>
          <w:color w:val="1E293B"/>
          <w:sz w:val="22"/>
        </w:rPr>
        <w:t>Provide representative PDFs per distributor</w:t>
      </w:r>
    </w:p>
    <w:p>
      <w:pPr>
        <w:pStyle w:val="ListBullet"/>
      </w:pPr>
      <w:r>
        <w:rPr>
          <w:color w:val="1E293B"/>
          <w:sz w:val="22"/>
        </w:rPr>
        <w:t>Assign UAT contact (daily PDF user)</w:t>
      </w:r>
    </w:p>
    <w:p>
      <w:pPr>
        <w:pStyle w:val="ListBullet"/>
      </w:pPr>
      <w:r>
        <w:rPr>
          <w:color w:val="1E293B"/>
          <w:sz w:val="22"/>
        </w:rPr>
        <w:t>Timely feedback during UAT (≤3 business days per review cycle)</w:t>
      </w:r>
    </w:p>
    <w:p>
      <w:r>
        <w:rPr>
          <w:b/>
          <w:color w:val="1A568E"/>
          <w:sz w:val="28"/>
        </w:rPr>
        <w:t>5. Out of Scope (Phase 1)</w:t>
      </w:r>
    </w:p>
    <w:p>
      <w:pPr>
        <w:pStyle w:val="ListBullet"/>
      </w:pPr>
      <w:r>
        <w:rPr>
          <w:color w:val="1E293B"/>
          <w:sz w:val="22"/>
        </w:rPr>
        <w:t>Inventory, warehouse, procurement, finance, HR modules</w:t>
      </w:r>
    </w:p>
    <w:p>
      <w:pPr>
        <w:pStyle w:val="ListBullet"/>
      </w:pPr>
      <w:r>
        <w:rPr>
          <w:color w:val="1E293B"/>
          <w:sz w:val="22"/>
        </w:rPr>
        <w:t>Replacement of existing sales/accounting software</w:t>
      </w:r>
    </w:p>
    <w:p>
      <w:pPr>
        <w:pStyle w:val="ListBullet"/>
      </w:pPr>
      <w:r>
        <w:rPr>
          <w:color w:val="1E293B"/>
          <w:sz w:val="22"/>
        </w:rPr>
        <w:t>Mobile applications</w:t>
      </w:r>
    </w:p>
    <w:p>
      <w:pPr>
        <w:pStyle w:val="ListBullet"/>
      </w:pPr>
      <w:r>
        <w:rPr>
          <w:color w:val="1E293B"/>
          <w:sz w:val="22"/>
        </w:rPr>
        <w:t>All 48 distributor templates at day-one go-live (rolled out post go-live)</w:t>
      </w:r>
    </w:p>
    <w:p>
      <w:r>
        <w:rPr>
          <w:b/>
          <w:color w:val="1A568E"/>
          <w:sz w:val="28"/>
        </w:rPr>
        <w:t>6.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4320"/>
          </w:tcPr>
          <w:p>
            <w:r>
              <w:t>Kickoff &amp; requirements lock</w:t>
            </w:r>
          </w:p>
        </w:tc>
        <w:tc>
          <w:tcPr>
            <w:tcW w:type="dxa" w:w="4320"/>
          </w:tcPr>
          <w:p>
            <w:r>
              <w:t>Week 1</w:t>
            </w:r>
          </w:p>
        </w:tc>
      </w:tr>
      <w:tr>
        <w:tc>
          <w:tcPr>
            <w:tcW w:type="dxa" w:w="4320"/>
          </w:tcPr>
          <w:p>
            <w:r>
              <w:t>Development</w:t>
            </w:r>
          </w:p>
        </w:tc>
        <w:tc>
          <w:tcPr>
            <w:tcW w:type="dxa" w:w="4320"/>
          </w:tcPr>
          <w:p>
            <w:r>
              <w:t>Weeks 2–6</w:t>
            </w:r>
          </w:p>
        </w:tc>
      </w:tr>
      <w:tr>
        <w:tc>
          <w:tcPr>
            <w:tcW w:type="dxa" w:w="4320"/>
          </w:tcPr>
          <w:p>
            <w:r>
              <w:t>UAT &amp; fixes</w:t>
            </w:r>
          </w:p>
        </w:tc>
        <w:tc>
          <w:tcPr>
            <w:tcW w:type="dxa" w:w="4320"/>
          </w:tcPr>
          <w:p>
            <w:r>
              <w:t>Weeks 7–8</w:t>
            </w:r>
          </w:p>
        </w:tc>
      </w:tr>
      <w:tr>
        <w:tc>
          <w:tcPr>
            <w:tcW w:type="dxa" w:w="4320"/>
          </w:tcPr>
          <w:p>
            <w:r>
              <w:t>Go-live</w:t>
            </w:r>
          </w:p>
        </w:tc>
        <w:tc>
          <w:tcPr>
            <w:tcW w:type="dxa" w:w="4320"/>
          </w:tcPr>
          <w:p>
            <w:r>
              <w:t>End of Week 8</w:t>
            </w:r>
          </w:p>
        </w:tc>
      </w:tr>
    </w:tbl>
    <w:p/>
    <w:p>
      <w:r>
        <w:rPr>
          <w:b/>
          <w:color w:val="1A568E"/>
          <w:sz w:val="28"/>
        </w:rPr>
        <w:t>7. Acceptance Criteria</w:t>
      </w:r>
    </w:p>
    <w:p>
      <w:pPr>
        <w:pStyle w:val="ListBullet"/>
      </w:pPr>
      <w:r>
        <w:rPr>
          <w:color w:val="1E293B"/>
          <w:sz w:val="22"/>
        </w:rPr>
        <w:t>SSR output matches agreed format for approved test PDFs</w:t>
      </w:r>
    </w:p>
    <w:p>
      <w:pPr>
        <w:pStyle w:val="ListBullet"/>
      </w:pPr>
      <w:r>
        <w:rPr>
          <w:color w:val="1E293B"/>
          <w:sz w:val="22"/>
        </w:rPr>
        <w:t>Successful processing of agreed go-live distributor template set</w:t>
      </w:r>
    </w:p>
    <w:p>
      <w:pPr>
        <w:pStyle w:val="ListBullet"/>
      </w:pPr>
      <w:r>
        <w:rPr>
          <w:color w:val="1E293B"/>
          <w:sz w:val="22"/>
        </w:rPr>
        <w:t>User training completed (1 session, up to [X] users)</w:t>
      </w:r>
    </w:p>
    <w:p>
      <w:pPr>
        <w:pStyle w:val="ListBullet"/>
      </w:pPr>
      <w:r>
        <w:rPr>
          <w:color w:val="1E293B"/>
          <w:sz w:val="22"/>
        </w:rPr>
        <w:t>Documentation: user guide + admin guide</w:t>
      </w:r>
    </w:p>
    <w:p>
      <w:r>
        <w:rPr>
          <w:b/>
          <w:color w:val="1A568E"/>
          <w:sz w:val="28"/>
        </w:rPr>
        <w:t>8. Support</w:t>
      </w:r>
    </w:p>
    <w:p>
      <w:r>
        <w:rPr>
          <w:color w:val="1E293B"/>
          <w:sz w:val="22"/>
        </w:rPr>
        <w:t>30/60/90 days warranty bug-fix period post go-live</w:t>
      </w:r>
    </w:p>
    <w:p>
      <w:r>
        <w:rPr>
          <w:color w:val="1E293B"/>
          <w:sz w:val="22"/>
        </w:rPr>
        <w:t>Template additions for additional distributors: [X] included / [rate] per additional template</w:t>
      </w:r>
    </w:p>
    <w:p>
      <w:r>
        <w:rPr>
          <w:b/>
          <w:color w:val="1A568E"/>
          <w:sz w:val="28"/>
        </w:rPr>
        <w:t>9. Assumptions</w:t>
      </w:r>
    </w:p>
    <w:p>
      <w:pPr>
        <w:pStyle w:val="ListBullet"/>
      </w:pPr>
      <w:r>
        <w:rPr>
          <w:color w:val="1E293B"/>
          <w:sz w:val="22"/>
        </w:rPr>
        <w:t>Client provides digital product master within 5 business days of kickoff</w:t>
      </w:r>
    </w:p>
    <w:p>
      <w:pPr>
        <w:pStyle w:val="ListBullet"/>
      </w:pPr>
      <w:r>
        <w:rPr>
          <w:color w:val="1E293B"/>
          <w:sz w:val="22"/>
        </w:rPr>
        <w:t>SSR field mapping signed off in Week 1</w:t>
      </w:r>
    </w:p>
    <w:p>
      <w:pPr>
        <w:pStyle w:val="ListBullet"/>
      </w:pPr>
      <w:r>
        <w:rPr>
          <w:color w:val="1E293B"/>
          <w:sz w:val="22"/>
        </w:rPr>
        <w:t>Hosting: [Client-hosted / MITRIXS-managed — specify]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