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line="276" w:lineRule="auto"/>
        <w:ind w:firstLine="0"/>
        <w:jc w:val="center"/>
      </w:pPr>
      <w:r>
        <w:rPr>
          <w:rFonts w:ascii="Times New Roman" w:hAnsi="Times New Roman" w:cs="Times New Roman" w:eastAsia="Times New Roman"/>
          <w:b/>
          <w:i w:val="0"/>
          <w:color w:val="000000"/>
          <w:sz w:val="36"/>
        </w:rPr>
        <w:t>ABSTRACT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proliferation of specialised learning platforms has left the technology student with a fragmented preparation workflow: course material is consumed on one portal, problem solving is practised on a second, résumés are assembled on a third and interview preparation on a fourth, and no single service holds the record of what the learner has actually covered. Elevora AI (Dev-Elevate) is a full-stack web application that consolidates learning, assessment, coding practice, documentation and placement preparation behind one authenticated, role-based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It is implemented as a React 18 single-page application in TypeScript, bundled with Vite 7, styled with Tailwind CSS 3 and shadcn/Radix primitives, and served by an Express 5 application on Node.js. Persistence is provided by MongoDB through Mongoose 8, whose thirty-two schemas cover users, learning tracks, notes, quizzes, attempts, skill assessments, contests, submissions, video progress and notifications. Authentication is stateless: JSON Web Tokens are issued after e-mail one-time-password verification or Google OAuth, delivered in an HTTP-only cookie and verified by dedicated server middleware. Artificial intelligence is supplied by three providers, namely Google Gemini 2.0 Flash for the Study Buddy, quiz and note generation, the OpenAI interface for skill-assessment generation and evaluation, and a Groq-hosted LLaMA 3 8B model for project recommendation. Code execution is delegated to Judge0, through the RapidAPI endpoint for the practice playground and a self-hosted instance for contests, where Socket.IO broadcasts live submission updates and Elo ratings are recalculated.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report documents the problem definition, the review of comparable systems, the specification derived from the source code, the architectural and data design, the implementation of each module and the verification evidence. Verification combined static review of the source tree, execution of the deployed client in a headless browser and manual exercise of the authentication path, and it distinguishes functionality observed to work from functionality that depends on third-party credentials, is presented by the interface but served by static data, or is specified but absent from the repository. Among the discrepancies reported are the absence of a server-side cover-letter module, hard-coded placement statistics and a mismatch between the token claims and the Socket.IO handshake that prevents socket authentication. The outcome is a working, if partially integrated, platform that consolidates twenty-three user-facing modules and forty-two API endpoint groups within a single repository that can be built and deployed with three commands.</w:t>
      </w:r>
    </w:p>
    <w:p>
      <w:r>
        <w:br w:type="page"/>
      </w:r>
    </w:p>
    <w:p>
      <w:pPr>
        <w:spacing w:after="280"/>
        <w:ind w:firstLine="0"/>
        <w:jc w:val="center"/>
      </w:pPr>
      <w:r>
        <w:rPr>
          <w:rFonts w:ascii="Times New Roman" w:hAnsi="Times New Roman" w:cs="Times New Roman" w:eastAsia="Times New Roman"/>
          <w:b/>
          <w:i w:val="0"/>
          <w:color w:val="000000"/>
          <w:sz w:val="36"/>
        </w:rPr>
        <w:t>TABLE OF CONTENTS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SL.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INTRODUCTION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1.1   Background and Context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1.2   Problem Statement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1.3   Objectives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1.4   Scope of the System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1.5   Intended Users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1.6   Development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1.7   Organization of the Report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LITERATURE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2.1   Scope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2.2   E-Learning Platforms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2.3   Online Judges and Competitive Programming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2.4   Artificial Intelligence in Education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2.5   Role-Based Access Control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2.6   Gamification and Real-Time Collaboration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2.7   Applicant Tracking Systems and Résumé Optimisation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2.8   Open Source Development as a Learning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2.9   Comparative Summary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2.10   Conclusion of the Survey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SYSTEM SPECIFICATION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   System Overview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3.2   User Roles and Permissions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3.3   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3.4   Non-Functional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3.5   Hardware, Software and Development Requirements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3.6   Technology Stack</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3.7   External Services and Dependencies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3.8   Database and Storage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3.9   Security and Privacy Considerations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3.10   Assumptions and Constraints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3.11   Feasibility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   Design Principles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4.2   Overall System Architecture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4.3   Module Organisation and Component Boundaries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4.4   Use-Case Model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4.5   Data Model and Entity Relationships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4.6   Authentication and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4.7   Artificial Intelligence Request and Response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4.8   Code Submission and Execution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4.9   Real-Time Contest Workflow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4.10   Administration Workflows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4.11   User Interface Design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   Repository Structure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5.2   Client Routing and Application Providers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5.3   Navigation Shell and Public Interface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5.4   Server Entry Point and Middleware Pipeline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5.5   Interface Surface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5.6   Authentication and Session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5.7   Role-Based Access Control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5.8   Dashboard Module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5.9   Learning Hub, Notes and Video Modules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5.10   Quiz and Skill Assessment Implementation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5.11   Artificial Intelligence Integrations and Failure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5.12   Code Editor and Compiler Integration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5.13   Contest Leaderboard and Rating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5.14   Notes, Community and Technology Feed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5.15   Résumé Builder and Cover Letter Generation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5.16   Administration Console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5.17   Notifications, Productivity Tools and Search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5.18   Error Handling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5.19   Build and Deployment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5.20   Repository Screen Recording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RESULT AND TESTING</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6.1   Evaluation Approach</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6.2   Test Environment</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6.3   Results of the Static Analysis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6.4   Test Cases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6.5   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6.6   Limitations of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6.7   Discussion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CONCLUSION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Future Enhancements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REFERENCES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72</w:t>
            </w:r>
          </w:p>
        </w:tc>
      </w:tr>
    </w:tbl>
    <w:p>
      <w:pPr>
        <w:pageBreakBefore/>
        <w:spacing w:after="280" w:before="0"/>
        <w:ind w:firstLine="0"/>
        <w:jc w:val="center"/>
      </w:pPr>
      <w:r>
        <w:rPr>
          <w:rFonts w:ascii="Times New Roman" w:hAnsi="Times New Roman" w:cs="Times New Roman" w:eastAsia="Times New Roman"/>
          <w:b/>
          <w:i w:val="0"/>
          <w:color w:val="000000"/>
          <w:sz w:val="36"/>
        </w:rPr>
        <w:t>FIGURE OF CONTENT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FIG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Overall system architecture of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Front-end module map and the corresponding server route groups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Use-case diagram for the learner, the administrator and the external services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Entity-relationship model derived from the Mongoose schemas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Authentication, token issuance and role-based authorisation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Request and response sequence for the AI Study Buddy</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Code submission and Judge0 execution flow for practice and for contests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4.8</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Real-time contest workflow over the Socket.IO channel</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Sign-in screen of the deployed Elevora AI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Public landing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Interface documentation page published by the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Project documentation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Contributor guide page of the deployed application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5.7</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Later frame of the repository screen recording of the authentication flow</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56</w:t>
            </w:r>
          </w:p>
        </w:tc>
      </w:tr>
    </w:tbl>
    <w:p>
      <w:pPr>
        <w:pageBreakBefore/>
        <w:spacing w:after="280" w:before="0"/>
        <w:ind w:firstLine="0"/>
        <w:jc w:val="center"/>
      </w:pPr>
      <w:r>
        <w:rPr>
          <w:rFonts w:ascii="Times New Roman" w:hAnsi="Times New Roman" w:cs="Times New Roman" w:eastAsia="Times New Roman"/>
          <w:b/>
          <w:i w:val="0"/>
          <w:color w:val="000000"/>
          <w:sz w:val="36"/>
        </w:rPr>
        <w:t>LIST OF TABLES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25" w:type="dxa"/>
          <w:left w:w="90" w:type="dxa"/>
          <w:bottom w:w="25" w:type="dxa"/>
          <w:right w:w="90" w:type="dxa"/>
        </w:tblCellMar>
        <w:tblLook w:firstColumn="1" w:firstRow="1" w:lastColumn="0" w:lastRow="0" w:noHBand="0" w:noVBand="1" w:val="04A0"/>
      </w:tblPr>
      <w:tblGrid>
        <w:gridCol w:w="1296"/>
        <w:gridCol w:w="6264"/>
        <w:gridCol w:w="1368"/>
      </w:tblGrid>
      <w:tr>
        <w:trPr>
          <w:tblHeader w:val="true"/>
        </w:trPr>
        <w:tc>
          <w:tcPr>
            <w:tcW w:type="dxa" w:w="1296"/>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TABLE NO</w:t>
            </w:r>
          </w:p>
        </w:tc>
        <w:tc>
          <w:tcPr>
            <w:tcW w:type="dxa" w:w="6264"/>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NAME</w:t>
            </w:r>
          </w:p>
        </w:tc>
        <w:tc>
          <w:tcPr>
            <w:tcW w:type="dxa" w:w="1368"/>
            <w:shd w:val="clear" w:color="auto" w:fill="E8E8E8"/>
          </w:tcPr>
          <w:p>
            <w:pPr>
              <w:spacing w:before="20" w:after="20" w:line="240" w:lineRule="auto"/>
              <w:ind w:firstLine="0"/>
              <w:jc w:val="center"/>
            </w:pPr>
            <w:r/>
            <w:r>
              <w:rPr>
                <w:rFonts w:ascii="Times New Roman" w:hAnsi="Times New Roman" w:cs="Times New Roman" w:eastAsia="Times New Roman"/>
                <w:b/>
                <w:i w:val="0"/>
                <w:color w:val="000000"/>
                <w:sz w:val="22"/>
              </w:rPr>
              <w:t>PAGE NO</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2.1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Comparison of related system classes with Elevora AI</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10</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Roles and the permissions attached to them</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13</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Functional requirements, evidence and observed status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14</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Non-functional requirements and the position observed</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16</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3.4</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Technology stack, declared version and actual use</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18</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3.5</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External services, credentials and degradation behaviour</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21</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3.6</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Principal collections, purpose and notable fields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22</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Directory layout of the two applications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37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5.2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Endpoint groups by functional area and declared protection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45</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6.1</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Environment used for the evaluation</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57</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6.2</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Test cases, expected and observed results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59</w:t>
            </w:r>
          </w:p>
        </w:tc>
      </w:tr>
      <w:tr>
        <w:tc>
          <w:tcPr>
            <w:tcW w:type="dxa" w:w="1296"/>
          </w:tcPr>
          <w:p>
            <w:pPr>
              <w:spacing w:before="20" w:after="20" w:line="240" w:lineRule="auto"/>
              <w:ind w:firstLine="0"/>
              <w:jc w:val="center"/>
            </w:pPr>
            <w:r/>
            <w:r>
              <w:rPr>
                <w:rFonts w:ascii="Times New Roman" w:hAnsi="Times New Roman" w:cs="Times New Roman" w:eastAsia="Times New Roman"/>
                <w:b/>
                <w:i w:val="0"/>
                <w:color w:val="000000"/>
                <w:sz w:val="21"/>
              </w:rPr>
              <w:t>6.3</w:t>
            </w:r>
          </w:p>
        </w:tc>
        <w:tc>
          <w:tcPr>
            <w:tcW w:type="dxa" w:w="6264"/>
          </w:tcPr>
          <w:p>
            <w:pPr>
              <w:spacing w:before="20" w:after="20" w:line="240" w:lineRule="auto"/>
              <w:ind w:firstLine="0"/>
              <w:jc w:val="left"/>
            </w:pPr>
            <w:r/>
            <w:r>
              <w:rPr>
                <w:rFonts w:ascii="Times New Roman" w:hAnsi="Times New Roman" w:cs="Times New Roman" w:eastAsia="Times New Roman"/>
                <w:b w:val="0"/>
                <w:i w:val="0"/>
                <w:color w:val="000000"/>
                <w:sz w:val="21"/>
              </w:rPr>
              <w:t>Defects and security findings</w:t>
            </w:r>
          </w:p>
        </w:tc>
        <w:tc>
          <w:tcPr>
            <w:tcW w:type="dxa" w:w="1368"/>
          </w:tcPr>
          <w:p>
            <w:pPr>
              <w:spacing w:before="20" w:after="20" w:line="240" w:lineRule="auto"/>
              <w:ind w:firstLine="0"/>
              <w:jc w:val="center"/>
            </w:pPr>
            <w:r/>
            <w:r>
              <w:rPr>
                <w:rFonts w:ascii="Times New Roman" w:hAnsi="Times New Roman" w:cs="Times New Roman" w:eastAsia="Times New Roman"/>
                <w:b w:val="0"/>
                <w:i w:val="0"/>
                <w:color w:val="000000"/>
                <w:sz w:val="21"/>
              </w:rPr>
              <w:t>65</w:t>
            </w:r>
          </w:p>
        </w:tc>
      </w:tr>
    </w:tbl>
    <w:p>
      <w:pPr>
        <w:sectPr>
          <w:footerReference w:type="default" r:id="rId9"/>
          <w:pgSz w:w="11909" w:h="16834"/>
          <w:pgMar w:top="1440" w:right="1440" w:bottom="1296" w:left="1440" w:header="648" w:footer="648" w:gutter="0"/>
          <w:pgNumType w:fmt="lowerRoman" w:start="1"/>
          <w:cols w:space="720"/>
          <w:docGrid w:linePitch="360"/>
        </w:sectPr>
      </w:pPr>
    </w:p>
    <w:p>
      <w:pPr>
        <w:keepNext/>
        <w:spacing w:before="0" w:after="40" w:line="276" w:lineRule="auto"/>
        <w:ind w:firstLine="0"/>
        <w:jc w:val="left"/>
      </w:pPr>
      <w:r>
        <w:rPr>
          <w:rFonts w:ascii="Times New Roman" w:hAnsi="Times New Roman" w:cs="Times New Roman" w:eastAsia="Times New Roman"/>
          <w:b/>
          <w:i w:val="0"/>
          <w:color w:val="000000"/>
          <w:sz w:val="36"/>
        </w:rPr>
        <w:t>CHAPTER – 1</w:t>
      </w:r>
    </w:p>
    <w:p>
      <w:pPr>
        <w:pStyle w:val="ChapterTitle"/>
      </w:pPr>
      <w:r>
        <w:rPr>
          <w:rFonts w:ascii="Times New Roman" w:hAnsi="Times New Roman" w:cs="Times New Roman" w:eastAsia="Times New Roman"/>
          <w:b/>
          <w:i w:val="0"/>
          <w:color w:val="000000"/>
          <w:sz w:val="36"/>
        </w:rPr>
        <w:t>INTRODUCTION</w:t>
      </w:r>
    </w:p>
    <w:p>
      <w:pPr>
        <w:pStyle w:val="SectionHeading"/>
      </w:pPr>
      <w:r>
        <w:rPr>
          <w:rFonts w:ascii="Times New Roman" w:hAnsi="Times New Roman" w:cs="Times New Roman" w:eastAsia="Times New Roman"/>
          <w:b/>
          <w:i w:val="0"/>
          <w:color w:val="000000"/>
          <w:sz w:val="28"/>
        </w:rPr>
        <w:t>1.1  Background and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Software education in the past decade has been shaped by a simple observation: no single tool can be good at everything, so users stopped expecting one tool to be good at everything. A student who wants to master data structures enrols on a video-course platform, migrates to a competitive programming portal to solve problems, opens a résumé template editor to produce an application document, and finally visits an internship board to look for an opening. Each of these services is individually competent and each of them is individually successful, yet the student experiences them as separate products with separate accounts, separate credentials and separate notions of progress. The consequence is that the learner's record of achievement is scattered across data silos that cannot be queried together.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fragmentation is usually discussed in terms of convenience, but its more serious consequence is analytical. Because a course platform knows which videos were watched and a coding platform knows which problems were solved, while a résumé builder knows nothing about either, no component of the workflow can answer the questions a learner actually cares about: how much have I improved this month, which of my weaknesses is closing, and am I ready for the interview I have been invited to? A personalised recommendation is impossible without a unified view, and a personalised recommendation is precisely the capability that recent large language models have made inexpensive enough to offer at scale.</w:t>
      </w:r>
    </w:p>
    <w:p>
      <w:pPr>
        <w:keepNext w:val="0"/>
        <w:spacing w:before="0" w:after="0" w:line="324" w:lineRule="auto"/>
        <w:ind w:firstLine="720"/>
        <w:jc w:val="both"/>
      </w:pPr>
      <w:r>
        <w:rPr>
          <w:rFonts w:ascii="Times New Roman" w:hAnsi="Times New Roman" w:cs="Times New Roman" w:eastAsia="Times New Roman"/>
          <w:b w:val="0"/>
          <w:i w:val="0"/>
          <w:color w:val="000000"/>
          <w:sz w:val="24"/>
        </w:rPr>
        <w:t>At the same time, the administrative layer of educational platforms has remained thin. A college that deploys a learning platform, a coding platform and a career portal as three separate products inherits three separate reporting pipelines, three sets of credentials to administer and three opportunities for student data to be exposed. The administrator in such an institution has no consolidated view of platform usage and no single place to moderate the community, author assessments or publish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was conceived against this background. The intent was not to build another course catalogue or another judge, but to build the shell that a student and an administrator can both live in: a single authenticated application whose modules share one identity, one progress model, one notification channel and one administrative control surface.</w:t>
      </w:r>
    </w:p>
    <w:p>
      <w:pPr>
        <w:pStyle w:val="SectionHeading"/>
      </w:pPr>
      <w:r>
        <w:rPr>
          <w:rFonts w:ascii="Times New Roman" w:hAnsi="Times New Roman" w:cs="Times New Roman" w:eastAsia="Times New Roman"/>
          <w:b/>
          <w:i w:val="0"/>
          <w:color w:val="000000"/>
          <w:sz w:val="28"/>
        </w:rPr>
        <w:t>1.2  Problem Statement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addressed by this project may be stated precisely as follows: to design and implement an AI-assisted learning and career-advancement platform that consolidates structured learning, timed assessment, code practice, documentation and placement preparation into a single role-based web application, in which the learner's progress is recorded once and reused by every module, and in which the administrator has a consolidated view of users, content and usage.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problem decomposes into the following sub-problems, each of which is addressed by a specific part of the system described in this report.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fragmentation. A learner who uses five platforms must maintain five accounts. Elevora AI addresses this with a single registration and login surface offering e-mail OTP verification and Google OAuth, backed by one JWT session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Progress fragmentation. Completion in one activity is invisible to the others. Elevora AI addresses this with a common user record carrying points, streaks, goals and completion counters, and with a dashboard aggregation endpoint that assembles these values from the quiz, assessment and learning collections.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Absence of AI assistance in the learning loop. Elevora AI addresses this with three separate model integrations chosen for distinct purposes: Gemini for conversational help and content generation, OpenAI for item generation and assessment evaluation, and Groq for lightweight recommendation.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Isolation of practice from learning. Elevora AI addresses this by embedding a Monaco-based code workspace and a contest leaderboard inside the same authenticated shell as the learning tracks.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Lack of administrative consolidation. Elevora AI addresses this with a dedicated administration console exposing user management, course authoring, quiz authoring, community moderation, analytics, system logs and configuration.</w:t>
      </w:r>
    </w:p>
    <w:p>
      <w:pPr>
        <w:pStyle w:val="SectionHeading"/>
      </w:pPr>
      <w:r>
        <w:rPr>
          <w:rFonts w:ascii="Times New Roman" w:hAnsi="Times New Roman" w:cs="Times New Roman" w:eastAsia="Times New Roman"/>
          <w:b/>
          <w:i w:val="0"/>
          <w:color w:val="000000"/>
          <w:sz w:val="28"/>
        </w:rPr>
        <w:t>1.3  Objectives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objectives of the project are stated below. Each objective is later mapped to the requirement identifiers of Chapter 3 and to the implementation evidence of Chapter 5, so that the extent to which it has been met can be assessed rather than asserted.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 To consolidate the major functions of a learning and career platform into one authenticated, role-based web application with a single navigation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O2. To provide structured learning tracks with module and topic level progress tracking that is persisted on the server.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O3. To provide an AI assistance surface for doubt resolution and for the generation of quizzes and notes.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O4. To provide a working code workspace with multi-language execution and a competitive contest mode with a live leaderboard and rating.</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O5. To provide automated skill assessment with scored feedback and a generated improvement plan.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O6. To provide career-document tooling in the form of a résumé builder with applicant-tracking-system scoring and a cover-letter generator, both exporting to PDF.</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O7. To provide a peer community with administrative moderation.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O8. To provide an administration console with user, content, assessment, analytics, log and configuration management.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O9. To secure the system with token-based authentication, role checks, input sanitisation and rate limiting on sensitive operations.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O10. To document the system to academic reporting standard, including design diagrams derived from the implemented code rather than from an abstract ideal.</w:t>
      </w:r>
    </w:p>
    <w:p>
      <w:pPr>
        <w:pStyle w:val="SectionHeading"/>
      </w:pPr>
      <w:r>
        <w:rPr>
          <w:rFonts w:ascii="Times New Roman" w:hAnsi="Times New Roman" w:cs="Times New Roman" w:eastAsia="Times New Roman"/>
          <w:b/>
          <w:i w:val="0"/>
          <w:color w:val="000000"/>
          <w:sz w:val="28"/>
        </w:rPr>
        <w:t>1.4  Scope of the System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scope covers the complete repository hosted at the MrAlpha00/Dev-Elevate address, comprising a client application of approximately three hundred and seventeen source files under the Client directory and a server application of one hundred and seven hand-written JavaScript files under the Server directory. The functional scope comprises twenty-three user-facing modules grouped as learning, assessment, career, community and productivity, together with nine administration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boundaries are declared explicitly so that the claims of this report may be read against them.</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system is a web application. No native mobile client exists in the repository, and no offline synchronisation mechanism is implemented.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Payment processing is out of scope as implemented. The client contains a plan comparison screen and links to externally hosted checkout pages; the server contains no payment provider integration, no payment route and no payment model.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Video content is not hosted by the platform. The video module integrates with the YouTube Data interface and stores only progress and bookmark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cover-letter module is a client-side document generator. No server-side storage, retrieval or validation of cover letters exists in the inspected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Placement statistics are demonstration data held in a server-side constant rather than in a database collection.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automated unit or integration test suite is present in either package; the verification described in Chapter 6 is therefore manual and code-level.</w:t>
      </w:r>
    </w:p>
    <w:p>
      <w:pPr>
        <w:pStyle w:val="SectionHeading"/>
      </w:pPr>
      <w:r>
        <w:rPr>
          <w:rFonts w:ascii="Times New Roman" w:hAnsi="Times New Roman" w:cs="Times New Roman" w:eastAsia="Times New Roman"/>
          <w:b/>
          <w:i w:val="0"/>
          <w:color w:val="000000"/>
          <w:sz w:val="28"/>
        </w:rPr>
        <w:t>1.5  Intended Users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primary user of the system is a student in the final two years of an undergraduate engineering or computer science programme who is preparing for a campus placement drive. This user needs a single view of the syllabus covered, a measurable record of practice, and application documents that can be produced in minutes rather than hours. A second category is the self-taught learner or career switcher who has no institutional curriculum and therefore requires an explicit roadmap. A third is the competitive programmer who needs an execution environment and a ranked contest. A fourth is the institutional administrator, typically a course coordinator, who requires visibility of activity and the ability to moderate content.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reflects these four profiles. The learner receives a dashboard centred on points, streaks, goals and progress; the administrator receives a separate console reached through a distinct route branch and guarded by a role check; the contestant is offered a dedicated workspace; and the self-learner is offered the roadmap and placement modules.</w:t>
      </w:r>
    </w:p>
    <w:p>
      <w:pPr>
        <w:pStyle w:val="SectionHeading"/>
      </w:pPr>
      <w:r>
        <w:rPr>
          <w:rFonts w:ascii="Times New Roman" w:hAnsi="Times New Roman" w:cs="Times New Roman" w:eastAsia="Times New Roman"/>
          <w:b/>
          <w:i w:val="0"/>
          <w:color w:val="000000"/>
          <w:sz w:val="28"/>
        </w:rPr>
        <w:t>1.6  Development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was developed as two independently deployable applications. The client is a single-page application in which routing, state and data access are handled by React Router, four React contexts and a small number of service modules that wrap the Axios HTTP client. The server is a stateless REST application in which each functional area is represented by a route file that declares its endpoints, a controller file that holds the business logic, and one or more Mongoose schema files that declare the persisted shape of the data. This separation is visible in the repository as a consistent convention across all thirty route modules, twenty-four controllers and thirty-two models, and it allows a reviewer to trace any endpoint from its HTTP path to the collection it writes to.</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Authentication was designed as a stateless bearer-token scheme rather than as a server-side session store, which keeps the API horizontally scalable and allows the same identity to be presented to the REST layer, the file-upload layer and the WebSocket layer. Authorisation is expressed as two middleware functions: one that establishes the identity of the caller and one that compares the role stored in the database record against the role required by the route.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artificial-intelligence features followed a different pattern. Rather than implementing a single provider abstraction, each model was introduced where its characteristics were most useful: Gemini for conversational response generation, the OpenAI interface for structured item generation and evaluation of skill assessments, and Groq for short recommendation prompts that must return quickly in the browser. This decision has the advantage of matching each provider's cost and latency profile to the interaction, and the disadvantage of distributing the failure modes across three separate credential sets, which is discussed in Chapter 6.</w:t>
      </w:r>
    </w:p>
    <w:p>
      <w:pPr>
        <w:pStyle w:val="SectionHeading"/>
      </w:pPr>
      <w:r>
        <w:rPr>
          <w:rFonts w:ascii="Times New Roman" w:hAnsi="Times New Roman" w:cs="Times New Roman" w:eastAsia="Times New Roman"/>
          <w:b/>
          <w:i w:val="0"/>
          <w:color w:val="000000"/>
          <w:sz w:val="28"/>
        </w:rPr>
        <w:t>1.7  Organization of the Report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remainder of the report is organised in the conventional order of a software engineering project report. Chapter 2 reviews the classes of existing system that the project draws upon and compares their characteristics with those of Elevora AI. Chapter 3 states the system specification, including the functional and non-functional requirements, the technology stack, the external dependencies and the assumptions on which the design rests, together with a requirement traceability table that records the observed status of each requirement. Chapter 4 describes the design, presenting the architecture, the role model, the data model, the principal workflows and eight diagrams derived from the implemented code. Chapter 5 describes the implementation module by module, with the directory layout, the routing table, the endpoint groups, the data models, the client-side modules and the build and deployment procedure, supported by genuine screenshots of the running application. Chapter 6 reports the verification work, the test plan, the test cases with their observed results, and the limitations that were discovered during evaluation. The conclusion summarises the contribution of the project and separates what was achieved from what remains to be done.</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2</w:t>
      </w:r>
    </w:p>
    <w:p>
      <w:pPr>
        <w:pStyle w:val="ChapterTitle"/>
      </w:pPr>
      <w:r>
        <w:rPr>
          <w:rFonts w:ascii="Times New Roman" w:hAnsi="Times New Roman" w:cs="Times New Roman" w:eastAsia="Times New Roman"/>
          <w:b/>
          <w:i w:val="0"/>
          <w:color w:val="000000"/>
          <w:sz w:val="36"/>
        </w:rPr>
        <w:t>LITERATURE SURVEY</w:t>
      </w:r>
    </w:p>
    <w:p>
      <w:pPr>
        <w:pStyle w:val="SectionHeading"/>
      </w:pPr>
      <w:r>
        <w:rPr>
          <w:rFonts w:ascii="Times New Roman" w:hAnsi="Times New Roman" w:cs="Times New Roman" w:eastAsia="Times New Roman"/>
          <w:b/>
          <w:i w:val="0"/>
          <w:color w:val="000000"/>
          <w:sz w:val="28"/>
        </w:rPr>
        <w:t>2.1  Scope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relevant to this project spans several distinct literatures. The first is the literature on electronic learning platforms and on the integration of artificial intelligence with instruction. The second is the literature on programmatic problem solving and online judging, which supplies the execution model behind the code workspace. The third is the literature on role-based access control, which supplies the authorisation model. The fourth is the literature on gamification and real-time collaboration, which supplies the motivational and communication models used by the contest and progress features. The fifth is the practical literature on applicant tracking systems, which supplies the evaluation criteria of the résumé scanner. Finally, the open source contribution literature provides the context in which the project is developed and licensed.</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project is an implemented system rather than an experimental study, the sources used in this survey are of two kinds: peer-reviewed and pre-print publications for the conceptual claims, and the official technical documentation of each framework and external service for the implementation claims. Where a publication could not be verified from an accessible record, it is identified as such in the reference list rather than being presented as established.</w:t>
      </w:r>
    </w:p>
    <w:p>
      <w:pPr>
        <w:pStyle w:val="SectionHeading"/>
      </w:pPr>
      <w:r>
        <w:rPr>
          <w:rFonts w:ascii="Times New Roman" w:hAnsi="Times New Roman" w:cs="Times New Roman" w:eastAsia="Times New Roman"/>
          <w:b/>
          <w:i w:val="0"/>
          <w:color w:val="000000"/>
          <w:sz w:val="28"/>
        </w:rPr>
        <w:t>2.2  E-Learning Platforms</w:t>
      </w:r>
    </w:p>
    <w:p>
      <w:pPr>
        <w:keepNext w:val="0"/>
        <w:spacing w:before="0" w:after="0" w:line="324" w:lineRule="auto"/>
        <w:ind w:firstLine="720"/>
        <w:jc w:val="both"/>
      </w:pPr>
      <w:r>
        <w:rPr>
          <w:rFonts w:ascii="Times New Roman" w:hAnsi="Times New Roman" w:cs="Times New Roman" w:eastAsia="Times New Roman"/>
          <w:b w:val="0"/>
          <w:i w:val="0"/>
          <w:color w:val="000000"/>
          <w:sz w:val="24"/>
        </w:rPr>
        <w:t>Massive open online course providers such as Coursera, edX and Udemy, and open-course consortia such as the OpenCourseWare movement, have established the modern expectations of an electronic learning system: a browsable catalogue, self-paced video or reading material, an assessment instrument, and a record of completion. Their strength is breadth and the quality control that a large instructional team can apply. Their limitation, for the purpose of this project, is that the catalogue is a closed body of content. The learner cannot ask why a given construct works, cannot generate a practice instrument on an adjacent topic, and cannot transfer the record of what was studied into an employment document. The distinction that matters for Elevora AI is not quality but generativity: the learning content of a platform is authored once, whereas the content of an assisted platform can be produced on demand.</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class of learning platform is the interactive curriculum platform, of which Codecademy and Exercism are representative, in which the learner writes code inside the page that teaches it. These systems close the gap between instruction and practice that the course platform leaves open, and they are the direct precedent for the code workspace of Chapter 5. Their remaining limitation is that the exercise set is fixed and, in the case of most such systems, is confined to a single language.</w:t>
      </w:r>
    </w:p>
    <w:p>
      <w:pPr>
        <w:pStyle w:val="SectionHeading"/>
      </w:pPr>
      <w:r>
        <w:rPr>
          <w:rFonts w:ascii="Times New Roman" w:hAnsi="Times New Roman" w:cs="Times New Roman" w:eastAsia="Times New Roman"/>
          <w:b/>
          <w:i w:val="0"/>
          <w:color w:val="000000"/>
          <w:sz w:val="28"/>
        </w:rPr>
        <w:t>2.3  Online Judges and Competitive Programming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Online judging systems provide the execution substrate for programming education. Judge0, the service used by this project, was conceived as an infrastructure layer rather than a user interface: it exposes a submission interface, an execution sandbox with configurable limits on CPU time and memory, and a polling interface that returns the compilation status, standard output, standard error and resource consumption of a completed run. This separation between judging infrastructure and pedagogy is important, because it allows the educational value to be added independently of the sandbox.</w:t>
      </w:r>
    </w:p>
    <w:p>
      <w:pPr>
        <w:keepNext w:val="0"/>
        <w:spacing w:before="0" w:after="0" w:line="324" w:lineRule="auto"/>
        <w:ind w:firstLine="720"/>
        <w:jc w:val="both"/>
      </w:pPr>
      <w:r>
        <w:rPr>
          <w:rFonts w:ascii="Times New Roman" w:hAnsi="Times New Roman" w:cs="Times New Roman" w:eastAsia="Times New Roman"/>
          <w:b w:val="0"/>
          <w:i w:val="0"/>
          <w:color w:val="000000"/>
          <w:sz w:val="24"/>
        </w:rPr>
        <w:t>Contest platforms such as Codeforces, LeetCode and HackerRank add to this substrate the elements of competition: a fixed time window, a scoring rule that combines solved problems with penalties for failed attempts, and a rating system that orders participants across contests. The rating mechanism used by Elevora AI is the Elo system, developed for competitive chess and subsequently applied to rating systems in many domains, in which each participant's rating changes by a quantity proportional to the expected score against the actual score. The parameter used in the implementation is 32, the value that Elo himself used in the original chess tables for periods of a month or more.</w:t>
      </w:r>
    </w:p>
    <w:p>
      <w:pPr>
        <w:pStyle w:val="SectionHeading"/>
      </w:pPr>
      <w:r>
        <w:rPr>
          <w:rFonts w:ascii="Times New Roman" w:hAnsi="Times New Roman" w:cs="Times New Roman" w:eastAsia="Times New Roman"/>
          <w:b/>
          <w:i w:val="0"/>
          <w:color w:val="000000"/>
          <w:sz w:val="28"/>
        </w:rPr>
        <w:t>2.4  Artificial Intelligence in Education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most significant development in the literature relevant to this project is the shift from rule-based intelligent tutoring systems to systems built on large language models. Mollick and Mollick have summarised the practical prompt patterns that make a general purpose model behave as a tutor, and their central observation is relevant to the design of this project: a model used as a tutor must be prompted into a constrained pedagogical role rather than permitted to answer freely. The Elevora AI chatbot satisfies this partially by requiring the user to select a query category, which constrains the system prompt, and by rendering the reply through a Markdown renderer with syntax highlighting so that code remains legible in a learning context.</w:t>
      </w:r>
    </w:p>
    <w:p>
      <w:pPr>
        <w:keepNext w:val="0"/>
        <w:spacing w:before="0" w:after="0" w:line="324" w:lineRule="auto"/>
        <w:ind w:firstLine="720"/>
        <w:jc w:val="both"/>
      </w:pPr>
      <w:r>
        <w:rPr>
          <w:rFonts w:ascii="Times New Roman" w:hAnsi="Times New Roman" w:cs="Times New Roman" w:eastAsia="Times New Roman"/>
          <w:b w:val="0"/>
          <w:i w:val="0"/>
          <w:color w:val="000000"/>
          <w:sz w:val="24"/>
        </w:rPr>
        <w:t>A second strand of the literature concerns automated assessment. Item generation with a language model, followed by a second model pass that evaluates the learner's answers, is a known design pattern for formative assessment at scale, and it is the pattern used by the skill-assessment module, in which OpenAI generates a domain-specific question set, stores it with the learner's responses, and returns a score together with a generated improvement plan. The literature also raises the well-known reliability concern that a generative model may produce items that are ambiguous, that are answerable by inference rather than by knowledge, or that are duplicated across candidates. The implementation in this project mitigates only the last of these, by storing the generated items in the database with the attempt, so that the instrument actually administered is reproducible; it does not implement item review, distractor analysis or inter-rater agreement, and this is recorded as a limitation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strand concerns the placement of a model inside an application. The architecture used in this project routes conversational generation through the server, so that the provider credential remains on the server, but routes the project recommender directly from the browser to the Groq service, so that the credential is embedded in the delivered bundle. This asymmetry is a deliberate engineering trade-off in terms of latency, and it is a security weakness in terms of credential custody, as discussed in Sections 3.8 and 6.5.</w:t>
      </w:r>
    </w:p>
    <w:p>
      <w:pPr>
        <w:pStyle w:val="SectionHeading"/>
      </w:pPr>
      <w:r>
        <w:rPr>
          <w:rFonts w:ascii="Times New Roman" w:hAnsi="Times New Roman" w:cs="Times New Roman" w:eastAsia="Times New Roman"/>
          <w:b/>
          <w:i w:val="0"/>
          <w:color w:val="000000"/>
          <w:sz w:val="28"/>
        </w:rPr>
        <w:t>2.5  Role-Based Access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access control model of the system follows the role-based access control formalisation of Sandhu, Coyne, Feinstein and Youman, in which permissions are attached to roles, users are assigned roles, and a session is evaluated against the permissions of the roles it activates. The formalism separates the concepts of user, role, session and permission, which allows an access control requirement to be stated in terms of the roles that may activate it. In the implementation the two roles are user and administrator, the session is the JSON Web Token issued at authentication, and the permission check is performed by two middleware functions, one that establishes identity and one that compares the role.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literature on web security is relevant to the observation that identity establishment and authorisation are distinct obligations and that the second is meaningless without the first. In the inspected server, several route groups apply only the authorisation check without first establishing identity; because the authorisation check reads the role from the identity object that the first check populates, such routes are permanently denied rather than insecurely open. The reverse error also occurs, in which a route group omits both checks. These observations are the subject of the security analysis of Section 3.9 and the test cases of Chapter 6.</w:t>
      </w:r>
    </w:p>
    <w:p>
      <w:pPr>
        <w:pStyle w:val="SectionHeading"/>
      </w:pPr>
      <w:r>
        <w:rPr>
          <w:rFonts w:ascii="Times New Roman" w:hAnsi="Times New Roman" w:cs="Times New Roman" w:eastAsia="Times New Roman"/>
          <w:b/>
          <w:i w:val="0"/>
          <w:color w:val="000000"/>
          <w:sz w:val="28"/>
        </w:rPr>
        <w:t>2.6  Gamification and Real-Time Collaboration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Gamification is the application of game design elements in a non-game context. Hamari, Koivisto and Sarsa reviewed a substantial body of empirical work on the subject and concluded that the effects of gamification are mixed and strongly dependent on the context in which the elements are applied; that is, gamification is not inherently effective, but is effective where the element is congruent with the activity it decorates. The features of Elevora AI that employ such elements are the daily streak counter, the points total, the achievement badges, the contribution leaderboard and the competitive contest. The congruence argument applies most strongly to the contest, which is competitive in its own right, and weakly to the points total, which is a measure of activity rather than of learning.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Real-time collaboration in educational systems is usually implemented with the WebSocket protocol or with a library built upon it. Socket.IO, the library used here, adds a transport upgrade mechanism, automatic reconnection and a room abstraction that maps a logical group of clients onto a shared broadcast channel. The contest module of this project uses exactly that abstraction: each contest occupies a room named from the contest identifier, clients join and leave that room, and the server broadcasts the current participant count and the status of each judged submission to the members of the room.</w:t>
      </w:r>
    </w:p>
    <w:p>
      <w:pPr>
        <w:pStyle w:val="SectionHeading"/>
      </w:pPr>
      <w:r>
        <w:rPr>
          <w:rFonts w:ascii="Times New Roman" w:hAnsi="Times New Roman" w:cs="Times New Roman" w:eastAsia="Times New Roman"/>
          <w:b/>
          <w:i w:val="0"/>
          <w:color w:val="000000"/>
          <w:sz w:val="28"/>
        </w:rPr>
        <w:t>2.7  Applicant Tracking Systems and Résumé Optimisation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 tracking system occupies a decisive position in modern recruitment practice. A résumé that is rejected by an automated screen is never read by a recruiter, and the screens in question are parsers that extract structured fields from a document and compare them against the requisition and the keyword set of the advertisement. The engineering implication for a résumé builder is that the document must be both attractive to a human reader and legible to a parser, which is a genuine tension, since the human reader is best served by a two-column layout with visual hierarchy while the parser is best served by a single-column document with conventional headings.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Elevora AI résumé builder resolves this tension by generating two documents from a single data model: a styled preview intended for human reading and a plain, single-column variant intended for machine parsing, together with a scanner that reports keyword coverage against a general keyword set and role-specific keyword sets. The scanner is a deterministic keyword analysis, not a machine-learning classifier, and its output should be read as coverage guidance rather than as a prediction of screening outcome.</w:t>
      </w:r>
    </w:p>
    <w:p>
      <w:pPr>
        <w:pStyle w:val="SectionHeading"/>
      </w:pPr>
      <w:r>
        <w:rPr>
          <w:rFonts w:ascii="Times New Roman" w:hAnsi="Times New Roman" w:cs="Times New Roman" w:eastAsia="Times New Roman"/>
          <w:b/>
          <w:i w:val="0"/>
          <w:color w:val="000000"/>
          <w:sz w:val="28"/>
        </w:rPr>
        <w:t>2.8  Open Source Development as a Learning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developed and published as an open source repository with a contributor guide, a code of conduct and a security policy. Pinto, Steinmacher and Gerosa studied the population of casual contributors to open source projects and found it to be considerably larger and more diverse than is commonly assumed, and that the principal barriers to contribution are motivational and procedural rather than technical. The contributor guide published by the application addresses exactly those barriers: it defines the meaning of the various difficulty labels attached to issues, distinguishes the repository from an unrelated project of similar name, and lists the classes of issue suitable for a first contribution. The relevance of this literature to the project is direct, because the platform exists partly to attract such contributions and the contributor-facing screens are part of the delivered interface.</w:t>
      </w:r>
    </w:p>
    <w:p>
      <w:pPr>
        <w:pStyle w:val="SectionHeading"/>
      </w:pPr>
      <w:r>
        <w:rPr>
          <w:rFonts w:ascii="Times New Roman" w:hAnsi="Times New Roman" w:cs="Times New Roman" w:eastAsia="Times New Roman"/>
          <w:b/>
          <w:i w:val="0"/>
          <w:color w:val="000000"/>
          <w:sz w:val="28"/>
        </w:rPr>
        <w:t>2.9  Comparative Summary</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2.1 summarises the classes of system reviewed above and compares their characteristics with those of Elevora AI. The comparison is deliberately made at the level of capability rather than of branding, and the right-hand column reflects the state of the implementation as established by the inspection reported in Chapters 4 to 6 rather than the ambition stated in the project synopsis.</w:t>
      </w:r>
    </w:p>
    <w:p>
      <w:pPr>
        <w:keepNext/>
        <w:spacing w:before="200" w:after="80" w:line="240" w:lineRule="auto"/>
        <w:ind w:firstLine="0"/>
        <w:jc w:val="center"/>
      </w:pPr>
      <w:r>
        <w:rPr>
          <w:rFonts w:ascii="Times New Roman" w:hAnsi="Times New Roman" w:cs="Times New Roman" w:eastAsia="Times New Roman"/>
          <w:b/>
          <w:i w:val="0"/>
          <w:color w:val="000000"/>
          <w:sz w:val="22"/>
        </w:rPr>
        <w:t>Table 2.1: Comparison of related system classes with Elevora AI</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13"/>
        <w:gridCol w:w="1786"/>
        <w:gridCol w:w="2041"/>
        <w:gridCol w:w="3189"/>
      </w:tblGrid>
      <w:tr>
        <w:trPr>
          <w:tblHeader w:val="true"/>
        </w:trPr>
        <w:tc>
          <w:tcPr>
            <w:tcW w:type="dxa" w:w="19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System class</w:t>
            </w:r>
          </w:p>
        </w:tc>
        <w:tc>
          <w:tcPr>
            <w:tcW w:type="dxa" w:w="178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strength</w:t>
            </w:r>
          </w:p>
        </w:tc>
        <w:tc>
          <w:tcPr>
            <w:tcW w:type="dxa" w:w="204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limitation</w:t>
            </w:r>
          </w:p>
        </w:tc>
        <w:tc>
          <w:tcPr>
            <w:tcW w:type="dxa" w:w="31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Elevora AI as implemented</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Video course platforms (Coursera, edX, Udemy)</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Broad authored catalogue, asynchronous delivery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embedded code execution, no AI tutoring, no career documents</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Learning Hub and Video modules give module progress, but the catalogue is smaller and the AI assistance is limited to the Study Buddy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Interactive curriculum platforms (Codecademy, Exercism)</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Instruction and practice in one surface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Single language focus, fixed exercise set, no assessment or placement tooling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Monaco workspace with multi-language Judge0 execution, but the practice problem set is local static data</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Online judges and contest platforms (Codeforces, LeetCode, HackerRank)</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Reliable sandboxed execution, ranking, established community</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structured curriculum, no résumé or interview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Contest module reproduces execution, scoring and Elo rating, but problems are declared in the model rather than harvested from a database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AI tutoring systems and assistants</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On-demand explanation, generated practice material</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Typically unintegrated with progress records; credential custody is often weak</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Gemini for the Study Buddy and for quiz and note generation, OpenAI for assessment; the Groq key is exposed in the client bundle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Résumé and cover-letter builders (Zety, Novoresume, Canva)</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Document design, templates, immediate export</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No skill tracking, no ATS analysis, no connection to preparation activity</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Résumé builder with ATS scan and dual export; the cover letter has export but no ATS variant and no server persistence</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Applicant tracking systems and job boards (LinkedIn, Naukri)</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Employer connectivity, workflow integration</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Do not teach; do not measure preparation</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Placement module and ATS scanner provide preparation, not employer connectivity</w:t>
            </w:r>
          </w:p>
        </w:tc>
      </w:tr>
      <w:tr>
        <w:tc>
          <w:tcPr>
            <w:tcW w:type="dxa" w:w="1913"/>
          </w:tcPr>
          <w:p>
            <w:pPr>
              <w:spacing w:after="40" w:before="40" w:line="252" w:lineRule="auto"/>
              <w:ind w:firstLine="0"/>
              <w:jc w:val="center"/>
            </w:pPr>
            <w:r/>
            <w:r>
              <w:rPr>
                <w:rFonts w:ascii="Times New Roman" w:hAnsi="Times New Roman" w:cs="Times New Roman" w:eastAsia="Times New Roman"/>
                <w:b w:val="0"/>
                <w:i w:val="0"/>
                <w:color w:val="000000"/>
                <w:sz w:val="20"/>
              </w:rPr>
              <w:t>Developer communities (Stack Overflow, Discord)</w:t>
            </w:r>
          </w:p>
        </w:tc>
        <w:tc>
          <w:tcPr>
            <w:tcW w:type="dxa" w:w="1786"/>
          </w:tcPr>
          <w:p>
            <w:pPr>
              <w:spacing w:after="40" w:before="40" w:line="252" w:lineRule="auto"/>
              <w:ind w:firstLine="0"/>
              <w:jc w:val="left"/>
            </w:pPr>
            <w:r/>
            <w:r>
              <w:rPr>
                <w:rFonts w:ascii="Times New Roman" w:hAnsi="Times New Roman" w:cs="Times New Roman" w:eastAsia="Times New Roman"/>
                <w:b w:val="0"/>
                <w:i w:val="0"/>
                <w:color w:val="000000"/>
                <w:sz w:val="20"/>
              </w:rPr>
              <w:t>Peer knowledge exchange at scale</w:t>
            </w:r>
          </w:p>
        </w:tc>
        <w:tc>
          <w:tcPr>
            <w:tcW w:type="dxa" w:w="2041"/>
          </w:tcPr>
          <w:p>
            <w:pPr>
              <w:spacing w:after="40" w:before="40" w:line="252" w:lineRule="auto"/>
              <w:ind w:firstLine="0"/>
              <w:jc w:val="left"/>
            </w:pPr>
            <w:r/>
            <w:r>
              <w:rPr>
                <w:rFonts w:ascii="Times New Roman" w:hAnsi="Times New Roman" w:cs="Times New Roman" w:eastAsia="Times New Roman"/>
                <w:b w:val="0"/>
                <w:i w:val="0"/>
                <w:color w:val="000000"/>
                <w:sz w:val="20"/>
              </w:rPr>
              <w:t>Weak coupling to formal curricula and to progress tracking</w:t>
            </w:r>
          </w:p>
        </w:tc>
        <w:tc>
          <w:tcPr>
            <w:tcW w:type="dxa" w:w="3189"/>
          </w:tcPr>
          <w:p>
            <w:pPr>
              <w:spacing w:after="40" w:before="40" w:line="252" w:lineRule="auto"/>
              <w:ind w:firstLine="0"/>
              <w:jc w:val="left"/>
            </w:pPr>
            <w:r/>
            <w:r>
              <w:rPr>
                <w:rFonts w:ascii="Times New Roman" w:hAnsi="Times New Roman" w:cs="Times New Roman" w:eastAsia="Times New Roman"/>
                <w:b w:val="0"/>
                <w:i w:val="0"/>
                <w:color w:val="000000"/>
                <w:sz w:val="20"/>
              </w:rPr>
              <w:t>Community forum with answers, resolution marking and administrative moderation</w:t>
            </w:r>
          </w:p>
        </w:tc>
      </w:tr>
    </w:tbl>
    <w:p>
      <w:pPr>
        <w:spacing w:after="80"/>
      </w:pPr>
    </w:p>
    <w:p>
      <w:pPr>
        <w:pStyle w:val="SectionHeading"/>
      </w:pPr>
      <w:r>
        <w:rPr>
          <w:rFonts w:ascii="Times New Roman" w:hAnsi="Times New Roman" w:cs="Times New Roman" w:eastAsia="Times New Roman"/>
          <w:b/>
          <w:i w:val="0"/>
          <w:color w:val="000000"/>
          <w:sz w:val="28"/>
        </w:rPr>
        <w:t>2.10  Conclusion of the Survey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survey shows that each capability required by this project is available separately and well implemented in the state of the art, and that the value of the consolidation is not in any single capability but in the shared context between them. It also shows that consolidation is not free: the literature on gamification cautions that merged features dilute their effect, the literature on role-based control cautions that merged privilege sets widen the consequence of a single authorisation mistake, and the security literature makes the obvious point that a larger attack surface produces more places in which a credential may be exposed. Elevora AI consequently treats consolidation as an engineering problem to be managed rather than an accumulation to be displayed, and the remainder of this report documents how that management was performed.</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3</w:t>
      </w:r>
    </w:p>
    <w:p>
      <w:pPr>
        <w:pStyle w:val="ChapterTitle"/>
      </w:pPr>
      <w:r>
        <w:rPr>
          <w:rFonts w:ascii="Times New Roman" w:hAnsi="Times New Roman" w:cs="Times New Roman" w:eastAsia="Times New Roman"/>
          <w:b/>
          <w:i w:val="0"/>
          <w:color w:val="000000"/>
          <w:sz w:val="36"/>
        </w:rPr>
        <w:t>SYSTEM SPECIFICATION</w:t>
      </w:r>
    </w:p>
    <w:p>
      <w:pPr>
        <w:pStyle w:val="SectionHeading"/>
      </w:pPr>
      <w:r>
        <w:rPr>
          <w:rFonts w:ascii="Times New Roman" w:hAnsi="Times New Roman" w:cs="Times New Roman" w:eastAsia="Times New Roman"/>
          <w:b/>
          <w:i w:val="0"/>
          <w:color w:val="000000"/>
          <w:sz w:val="28"/>
        </w:rPr>
        <w:t>3.1  System Overview</w:t>
      </w:r>
    </w:p>
    <w:p>
      <w:pPr>
        <w:keepNext w:val="0"/>
        <w:spacing w:before="0" w:after="0" w:line="324" w:lineRule="auto"/>
        <w:ind w:firstLine="720"/>
        <w:jc w:val="both"/>
      </w:pPr>
      <w:r>
        <w:rPr>
          <w:rFonts w:ascii="Times New Roman" w:hAnsi="Times New Roman" w:cs="Times New Roman" w:eastAsia="Times New Roman"/>
          <w:b w:val="0"/>
          <w:i w:val="0"/>
          <w:color w:val="000000"/>
          <w:sz w:val="24"/>
        </w:rPr>
        <w:t>Elevora AI is specified as a three-tier, service-oriented web application with a browser-resident presentation tier, an application tier that exposes a stateless REST interface together with a WebSocket channel, and a document data tier. The presentation tier is a single-page application in which every functional module is mounted inside one application shell, so that the authenticated session, the notification channel, the theme state and the navigation are shared by every module without duplication.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application tier is organised around the resource that each route group manages. Each functional area of the specification has a corresponding route module that declares its endpoints and its middleware requirements, a corresponding controller that holds the business logic, and a set of Mongoose schemas that declare the persisted form of the data. The data tier is MongoDB, reached through the Mongoose object document mapper, which permits the schema of a collection to evolve without a migration, an advantage for the document-shaped artefacts of this system such as quiz items, contest problems and learning notes.</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classes of external service are integrated. Three are inference services, used respectively for conversation, assessment and recommendation. One is a compiler service, used to execute submitted source code. Two are content services, used to supply course metadata and current news. One is a messaging service, used to deliver verification and password-reset mail. Each integration is optional at run time: the system starts, serves its static and unauthenticated resources, and degrades the corresponding module when the credential for a provider is absent.</w:t>
      </w:r>
    </w:p>
    <w:p>
      <w:pPr>
        <w:pStyle w:val="SectionHeading"/>
      </w:pPr>
      <w:r>
        <w:rPr>
          <w:rFonts w:ascii="Times New Roman" w:hAnsi="Times New Roman" w:cs="Times New Roman" w:eastAsia="Times New Roman"/>
          <w:b/>
          <w:i w:val="0"/>
          <w:color w:val="000000"/>
          <w:sz w:val="28"/>
        </w:rPr>
        <w:t>3.2  User Roles and Permissions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roles are defined. A registered learner holds the role user and may exercise every module of the application shell. An administrator holds the role admin and may additionally exercise the administration console, the authoring endpoints and the moderation endpoints. The role is stored on the user document, is copied into the issued token, and is re-read from the database on every authenticated request, so that a change of role takes effect without requiring the user to re-authenticate.</w:t>
      </w:r>
    </w:p>
    <w:p>
      <w:pPr>
        <w:keepNext/>
        <w:spacing w:before="200" w:after="80" w:line="240" w:lineRule="auto"/>
        <w:ind w:firstLine="0"/>
        <w:jc w:val="center"/>
      </w:pPr>
      <w:r>
        <w:rPr>
          <w:rFonts w:ascii="Times New Roman" w:hAnsi="Times New Roman" w:cs="Times New Roman" w:eastAsia="Times New Roman"/>
          <w:b/>
          <w:i w:val="0"/>
          <w:color w:val="000000"/>
          <w:sz w:val="22"/>
        </w:rPr>
        <w:t>Table 3.1: Roles and the permissions attached to them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3571"/>
        <w:gridCol w:w="1548"/>
        <w:gridCol w:w="1667"/>
        <w:gridCol w:w="2143"/>
      </w:tblGrid>
      <w:tr>
        <w:trPr>
          <w:tblHeader w:val="true"/>
        </w:trPr>
        <w:tc>
          <w:tcPr>
            <w:tcW w:type="dxa" w:w="357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Capability</w:t>
            </w:r>
          </w:p>
        </w:tc>
        <w:tc>
          <w:tcPr>
            <w:tcW w:type="dxa" w:w="154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Anonymous</w:t>
            </w:r>
          </w:p>
        </w:tc>
        <w:tc>
          <w:tcPr>
            <w:tcW w:type="dxa" w:w="1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User (learner)</w:t>
            </w:r>
          </w:p>
        </w:tc>
        <w:tc>
          <w:tcPr>
            <w:tcW w:type="dxa" w:w="214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Admin</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View public landing, legal and documentation pages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Register, verify by OTP, log in, log in with Google</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Access the application shell and all learner modules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Submit and attempt quizzes and skill assessments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Write, publish and share notes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Manage learners, courses, quizzes and community content</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Read analytics, system logs and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w:t>
            </w:r>
          </w:p>
        </w:tc>
      </w:tr>
      <w:tr>
        <w:tc>
          <w:tcPr>
            <w:tcW w:type="dxa" w:w="3571"/>
          </w:tcPr>
          <w:p>
            <w:pPr>
              <w:spacing w:after="40" w:before="40" w:line="252" w:lineRule="auto"/>
              <w:ind w:firstLine="0"/>
              <w:jc w:val="center"/>
            </w:pPr>
            <w:r/>
            <w:r>
              <w:rPr>
                <w:rFonts w:ascii="Times New Roman" w:hAnsi="Times New Roman" w:cs="Times New Roman" w:eastAsia="Times New Roman"/>
                <w:b w:val="0"/>
                <w:i w:val="0"/>
                <w:color w:val="000000"/>
                <w:sz w:val="20"/>
              </w:rPr>
              <w:t>Change system settings</w:t>
            </w:r>
          </w:p>
        </w:tc>
        <w:tc>
          <w:tcPr>
            <w:tcW w:type="dxa" w:w="1548"/>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1667"/>
          </w:tcPr>
          <w:p>
            <w:pPr>
              <w:spacing w:after="40" w:before="40" w:line="252" w:lineRule="auto"/>
              <w:ind w:firstLine="0"/>
              <w:jc w:val="left"/>
            </w:pPr>
            <w:r/>
            <w:r>
              <w:rPr>
                <w:rFonts w:ascii="Times New Roman" w:hAnsi="Times New Roman" w:cs="Times New Roman" w:eastAsia="Times New Roman"/>
                <w:b w:val="0"/>
                <w:i w:val="0"/>
                <w:color w:val="000000"/>
                <w:sz w:val="20"/>
              </w:rPr>
              <w:t>Denied</w:t>
            </w:r>
          </w:p>
        </w:tc>
        <w:tc>
          <w:tcPr>
            <w:tcW w:type="dxa" w:w="2143"/>
          </w:tcPr>
          <w:p>
            <w:pPr>
              <w:spacing w:after="40" w:before="40" w:line="252" w:lineRule="auto"/>
              <w:ind w:firstLine="0"/>
              <w:jc w:val="left"/>
            </w:pPr>
            <w:r/>
            <w:r>
              <w:rPr>
                <w:rFonts w:ascii="Times New Roman" w:hAnsi="Times New Roman" w:cs="Times New Roman" w:eastAsia="Times New Roman"/>
                <w:b w:val="0"/>
                <w:i w:val="0"/>
                <w:color w:val="000000"/>
                <w:sz w:val="20"/>
              </w:rPr>
              <w:t>Permitted, with a secondary secret-key check</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permission model is enforced in three places. The presentation tier routes the administration branch through a guard component that checks the role held in the client-side session and redirects an unauthorised caller. The application tier applies an identity middleware and, where required, an authorisation middleware to the individual endpoints. The data tier is not separately protected, because no user-facing query accepts an identifier belonging to another user without an ownership test in the controller; the ownership test is present for the notes, progress, review, assessment and attempt resources and is absent for some of the administrator resources, where it is unnecessary.</w:t>
      </w:r>
    </w:p>
    <w:p>
      <w:pPr>
        <w:pStyle w:val="SectionHeading"/>
      </w:pPr>
      <w:r>
        <w:rPr>
          <w:rFonts w:ascii="Times New Roman" w:hAnsi="Times New Roman" w:cs="Times New Roman" w:eastAsia="Times New Roman"/>
          <w:b/>
          <w:i w:val="0"/>
          <w:color w:val="000000"/>
          <w:sz w:val="28"/>
        </w:rPr>
        <w:t>3.3  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functional requirements are derived from the route table of the server and the route table of the client, and are therefore traceable to an implementation. The status column records the state observed during the inspection described in Chapters 4 to 6. Four values are used: Implemented, where the behaviour exists in the source and was observed to work; Implemented, credential dependent, where the behaviour exists but requires a third-party credential or a running database; Partially implemented, where the endpoint group exists but some part of the behaviour is static, hard-coded or defective; and Not implemented, where the capability described in the project synopsis has no server-side counterpart.</w:t>
      </w:r>
    </w:p>
    <w:p>
      <w:pPr>
        <w:keepNext/>
        <w:spacing w:before="200" w:after="80" w:line="240" w:lineRule="auto"/>
        <w:ind w:firstLine="0"/>
        <w:jc w:val="center"/>
      </w:pPr>
      <w:r>
        <w:rPr>
          <w:rFonts w:ascii="Times New Roman" w:hAnsi="Times New Roman" w:cs="Times New Roman" w:eastAsia="Times New Roman"/>
          <w:b/>
          <w:i w:val="0"/>
          <w:color w:val="000000"/>
          <w:sz w:val="22"/>
        </w:rPr>
        <w:t>Table 3.2: Functional requirements, evidence and observed status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3016"/>
        <w:gridCol w:w="3137"/>
        <w:gridCol w:w="2051"/>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301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Primary evidence</w:t>
            </w:r>
          </w:p>
        </w:tc>
        <w:tc>
          <w:tcPr>
            <w:tcW w:type="dxa" w:w="20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Register with e-mail address, name and password; verify the account by a one-time password sent over SMTP</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userRoutes.js; userController.registerUser, verifySignupOtp; utils/mailer.js; OtpToken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Authenticate with e-mail and password, or with a Google identity token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AuthContext.tsx; userController.loginUser, googleUser; firebase.ts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Issue a signed token at authentication and present it on subsequent requests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authMiddleware.authenticateToken; axiosinstance.ts request interceptor</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(see NFR-09)</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Restrict administration functionality by role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ProtectedRoute component; requireAdmin and authorize middleware</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with exceptions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Display a dashboard summarising points, streak, goals, progress, recent attempts and achievements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dashboardRoutes.js; dashboardController.js; Dashboard component group</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(static seed values on the client)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structured learning tracks for DSA, Java, MERN and AI/ML with module progress, notes and reviews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javaRoutes, aimlRoutes, mernRoutes, dsaRoutes; Notes, Reviews and Progress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Attempt author-written quizzes with timing, scoring and a history of attempts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quizRoutes.js; userQuizRoutes.js; Quiz and QuizAttempt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quiz on a chosen topic and difficulty</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aiController.generateAIQuiz; AIQuizGenerator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FR-09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Generate a skill assessment across five domains, submit answers and receive a scored evaluation with an improvement plan</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(TRACK_CONFIG); assessmentRoutes.js; SkillAssessment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Write source code in an embedded editor, run it and read compiler output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CodeEditor.tsx; ProblemsPage.tsx; compilerRoutes.js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Participate in a timed contest with a live leaderboard and a rating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socket.js; Contest, Problem and ContestSubmission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(see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the AI Study Buddy for help on learning, career or general questions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Chatbot.tsx; aiRoutes.js; aiController.getAIReply</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Create, edit, publish, search, like and attach files to notes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notesRoutes.js; notesController.js; Notes model</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(the like operation fails on a schema mismatch)</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FR-14</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Ask and answer questions in a community forum with resolution marking and acceptance of an answer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communityRoutes.js; Question and Answer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FR-15</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Build a résumé from structured forms, scan it for applicant-tracking-system compatibility and export it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ResumeBuilder components; atsRoutes.js; atsController.js; utils/keywordExtractor.js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 (scan)</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FR-16</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Compose and export a cover letter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CoverLetter.tsx (jsPDF export)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 no server-side module exists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FR-17</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Follow a career roadmap by role or by skill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Roadmap.jsx; assets/json/rolebasedRoadmaps.json and skillbasedRoadmaps.json</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(static data)</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FR-18</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Read current technology news and career updates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newsRoutes.js; newsAggregator.js (NewsAPI); TechFeed component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credential dependent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FR-19</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Track video progress, bookmark videos and resume a course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videoProgressRoutes.js; VideoProgress and SavedVideo models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FR-20</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Search across the platform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utils/search.ts; utils/semanticSearch.js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 on the client only</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FR-21</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Receive in-application notifications and read or delete them</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notificationRoutes.js; Notification model; NotificationContext</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Implemented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FR-22</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Administer users, courses, quizzes, community content, feedback, analytics, logs and settings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adminRoutes.js; adminCourseRoutes.js; adminFeedbackRoutes.js; analytics.js; SystemSettingRoute.js</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Partially implemented (see Section 6.4)</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FR-23</w:t>
            </w:r>
          </w:p>
        </w:tc>
        <w:tc>
          <w:tcPr>
            <w:tcW w:type="dxa" w:w="3016"/>
          </w:tcPr>
          <w:p>
            <w:pPr>
              <w:spacing w:after="40" w:before="40" w:line="252" w:lineRule="auto"/>
              <w:ind w:firstLine="0"/>
              <w:jc w:val="left"/>
            </w:pPr>
            <w:r/>
            <w:r>
              <w:rPr>
                <w:rFonts w:ascii="Times New Roman" w:hAnsi="Times New Roman" w:cs="Times New Roman" w:eastAsia="Times New Roman"/>
                <w:b w:val="0"/>
                <w:i w:val="0"/>
                <w:color w:val="000000"/>
                <w:sz w:val="20"/>
              </w:rPr>
              <w:t>Take a paid subscription for premium 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PremiumPage.tsx; PaymentPage.tsx</w:t>
            </w:r>
          </w:p>
        </w:tc>
        <w:tc>
          <w:tcPr>
            <w:tcW w:type="dxa" w:w="2051"/>
          </w:tcPr>
          <w:p>
            <w:pPr>
              <w:spacing w:after="40" w:before="40" w:line="252" w:lineRule="auto"/>
              <w:ind w:firstLine="0"/>
              <w:jc w:val="left"/>
            </w:pPr>
            <w:r/>
            <w:r>
              <w:rPr>
                <w:rFonts w:ascii="Times New Roman" w:hAnsi="Times New Roman" w:cs="Times New Roman" w:eastAsia="Times New Roman"/>
                <w:b w:val="0"/>
                <w:i w:val="0"/>
                <w:color w:val="000000"/>
                <w:sz w:val="20"/>
              </w:rPr>
              <w:t>Not implemented as a server-side capability; the client links to externally hosted checkout pages and the server contains no payment route or model</w:t>
            </w:r>
          </w:p>
        </w:tc>
      </w:tr>
    </w:tbl>
    <w:p>
      <w:pPr>
        <w:spacing w:after="80"/>
      </w:pPr>
    </w:p>
    <w:p>
      <w:pPr>
        <w:pStyle w:val="SectionHeading"/>
      </w:pPr>
      <w:r>
        <w:rPr>
          <w:rFonts w:ascii="Times New Roman" w:hAnsi="Times New Roman" w:cs="Times New Roman" w:eastAsia="Times New Roman"/>
          <w:b/>
          <w:i w:val="0"/>
          <w:color w:val="000000"/>
          <w:sz w:val="28"/>
        </w:rPr>
        <w:t>3.4  Non-Functional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non-functional requirements are stated as design obligations, and the measured position is reported only where a measurement was actually taken. No response-time target, throughput figure or availability guarantee is asserted, because the repository contains no load-test evidence, and the deployed application could not be exercised with a measurable concurrent workload during this evaluation.</w:t>
      </w:r>
    </w:p>
    <w:p>
      <w:pPr>
        <w:keepNext/>
        <w:spacing w:before="200" w:after="80" w:line="240" w:lineRule="auto"/>
        <w:ind w:firstLine="0"/>
        <w:jc w:val="center"/>
      </w:pPr>
      <w:r>
        <w:rPr>
          <w:rFonts w:ascii="Times New Roman" w:hAnsi="Times New Roman" w:cs="Times New Roman" w:eastAsia="Times New Roman"/>
          <w:b/>
          <w:i w:val="0"/>
          <w:color w:val="000000"/>
          <w:sz w:val="22"/>
        </w:rPr>
        <w:t>Table 3.3: Non-functional requirements and the position observed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724"/>
        <w:gridCol w:w="1568"/>
        <w:gridCol w:w="2896"/>
        <w:gridCol w:w="3740"/>
      </w:tblGrid>
      <w:tr>
        <w:trPr>
          <w:tblHeader w:val="true"/>
        </w:trPr>
        <w:tc>
          <w:tcPr>
            <w:tcW w:type="dxa" w:w="72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ID</w:t>
            </w:r>
          </w:p>
        </w:tc>
        <w:tc>
          <w:tcPr>
            <w:tcW w:type="dxa" w:w="156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Requirement</w:t>
            </w:r>
          </w:p>
        </w:tc>
        <w:tc>
          <w:tcPr>
            <w:tcW w:type="dxa" w:w="289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Design obligation</w:t>
            </w:r>
          </w:p>
        </w:tc>
        <w:tc>
          <w:tcPr>
            <w:tcW w:type="dxa" w:w="3740"/>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Position observed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NFR-01</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Usability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 single navigation shell of nineteen modules shall be reachable from every authenticated page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sidebar and navbar expose the same nineteen entries and the catch-all route resolves unknown paths to the dashboard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NFR-02</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Maintainability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server shall separate route declaration, business logic and persistence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convention across thirty route modules, twenty-four controllers and thirty-two models</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NFR-03</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Portability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The client shall build and run without platform-specific code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build completed and the client was served from a static host in the evaluation environment</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NFR-04</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Accessibility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Interactive controls shall carry labels and be keyboard reachable</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the editor registers keyboard shortcuts, but no formal accessibility audit was performed</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NFR-05</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Availability of optional integrations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Absence of a third-party credential shall not prevent the application from starting</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the client and the server start without any provider credential; the affected module reports an error</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NFR-06</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Data model flexibility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New fields shall be persistable without a schema migration</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Met by the use of the document data model, at the cost of the schema discipline discussed in Section 3.8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NFR-07</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Real-time responsiveness</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state shall be broadcast to the participants of a contest</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Implemented in code; not observed in operation because the socket handshake does not resolve the user (Section 4.8)</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NFR-08</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Input hygiene</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Text submitted by users shall be sanitised before it is stored or rendered</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Partially met: a sanitising middleware is applied globally, but the validator module is not attached to any route</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NFR-09</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Session integrity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Every authenticated request shall carry an identity that the server can verify</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Defective: the client interceptor and the session context use two different storage keys, so the bearer token is not attached (Section 6.3)</w:t>
            </w:r>
          </w:p>
        </w:tc>
      </w:tr>
      <w:tr>
        <w:tc>
          <w:tcPr>
            <w:tcW w:type="dxa" w:w="724"/>
          </w:tcPr>
          <w:p>
            <w:pPr>
              <w:spacing w:after="40" w:before="40" w:line="252" w:lineRule="auto"/>
              <w:ind w:firstLine="0"/>
              <w:jc w:val="center"/>
            </w:pPr>
            <w:r/>
            <w:r>
              <w:rPr>
                <w:rFonts w:ascii="Times New Roman" w:hAnsi="Times New Roman" w:cs="Times New Roman" w:eastAsia="Times New Roman"/>
                <w:b w:val="0"/>
                <w:i w:val="0"/>
                <w:color w:val="000000"/>
                <w:sz w:val="20"/>
              </w:rPr>
              <w:t>NFR-10</w:t>
            </w:r>
          </w:p>
        </w:tc>
        <w:tc>
          <w:tcPr>
            <w:tcW w:type="dxa" w:w="1568"/>
          </w:tcPr>
          <w:p>
            <w:pPr>
              <w:spacing w:after="40" w:before="40" w:line="252" w:lineRule="auto"/>
              <w:ind w:firstLine="0"/>
              <w:jc w:val="left"/>
            </w:pPr>
            <w:r/>
            <w:r>
              <w:rPr>
                <w:rFonts w:ascii="Times New Roman" w:hAnsi="Times New Roman" w:cs="Times New Roman" w:eastAsia="Times New Roman"/>
                <w:b w:val="0"/>
                <w:i w:val="0"/>
                <w:color w:val="000000"/>
                <w:sz w:val="20"/>
              </w:rPr>
              <w:t>Credential custody</w:t>
            </w:r>
          </w:p>
        </w:tc>
        <w:tc>
          <w:tcPr>
            <w:tcW w:type="dxa" w:w="2896"/>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shall be delivered to the browser</w:t>
            </w:r>
          </w:p>
        </w:tc>
        <w:tc>
          <w:tcPr>
            <w:tcW w:type="dxa" w:w="3740"/>
          </w:tcPr>
          <w:p>
            <w:pPr>
              <w:spacing w:after="40" w:before="40" w:line="252" w:lineRule="auto"/>
              <w:ind w:firstLine="0"/>
              <w:jc w:val="left"/>
            </w:pPr>
            <w:r/>
            <w:r>
              <w:rPr>
                <w:rFonts w:ascii="Times New Roman" w:hAnsi="Times New Roman" w:cs="Times New Roman" w:eastAsia="Times New Roman"/>
                <w:b w:val="0"/>
                <w:i w:val="0"/>
                <w:color w:val="000000"/>
                <w:sz w:val="20"/>
              </w:rPr>
              <w:t>Not met: the Groq and Gemini keys are inlined into the client bundle by the build tool (Section 3.9)</w:t>
            </w:r>
          </w:p>
        </w:tc>
      </w:tr>
    </w:tbl>
    <w:p>
      <w:pPr>
        <w:spacing w:after="80"/>
      </w:pPr>
    </w:p>
    <w:p>
      <w:pPr>
        <w:pStyle w:val="SectionHeading"/>
      </w:pPr>
      <w:r>
        <w:rPr>
          <w:rFonts w:ascii="Times New Roman" w:hAnsi="Times New Roman" w:cs="Times New Roman" w:eastAsia="Times New Roman"/>
          <w:b/>
          <w:i w:val="0"/>
          <w:color w:val="000000"/>
          <w:sz w:val="28"/>
        </w:rPr>
        <w:t>3.5  Hardware, Software and Development Requirements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development of the project requires a workstation capable of running the client build, a Node.js runtime, a MongoDB instance and an editor with support for the two languages used. The following requirements are stated for the development environment; the runtime requirements of the deployed system are substantially smaller.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64-bit workstation with at least 8 GB of memory and 10 GB of free disk space; the client dependency tree occupies approximately 400 MB and the server approximately 100 MB.</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Node.js version 20.19 or later, which is the version required by the Vite 7 bundler used by the client. The client manifest declares a lower bound, which is insufficient for the bundled toolchain.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either local or hosted, reachable through a connection string supplied in the environment. The server terminates the process if the connection fails.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Chromium-based browser for the client and an SMTP account for the verification and password-reset messages.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Third-party credentials for the inference services, the compiler service, the YouTube interface and the news interface, each of which may be absent for local development at the cost of the corresponding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deployment requirements are a static host for the client and a Node.js host for the server. The client deployment configuration observed in the repository specifies a build command, an output directory and a rewrite rule that sends every unmatched path to the single-page entry point.</w:t>
      </w:r>
    </w:p>
    <w:p>
      <w:pPr>
        <w:pStyle w:val="SectionHeading"/>
      </w:pPr>
      <w:r>
        <w:rPr>
          <w:rFonts w:ascii="Times New Roman" w:hAnsi="Times New Roman" w:cs="Times New Roman" w:eastAsia="Times New Roman"/>
          <w:b/>
          <w:i w:val="0"/>
          <w:color w:val="000000"/>
          <w:sz w:val="28"/>
        </w:rPr>
        <w:t>3.6  Technology Stack</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3.4 records the technology stack with the version declared in the lockfile and the purpose that each component actually serves in this repository. Where the project synopsis names a technology that the inspected code does not use, the discrepancy is recorded in the final column.</w:t>
      </w:r>
    </w:p>
    <w:p>
      <w:pPr>
        <w:keepNext/>
        <w:spacing w:before="200" w:after="80" w:line="240" w:lineRule="auto"/>
        <w:ind w:firstLine="0"/>
        <w:jc w:val="center"/>
      </w:pPr>
      <w:r>
        <w:rPr>
          <w:rFonts w:ascii="Times New Roman" w:hAnsi="Times New Roman" w:cs="Times New Roman" w:eastAsia="Times New Roman"/>
          <w:b/>
          <w:i w:val="0"/>
          <w:color w:val="000000"/>
          <w:sz w:val="22"/>
        </w:rPr>
        <w:t>Table 3.4: Technology stack, declared version and actual use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066"/>
        <w:gridCol w:w="2265"/>
        <w:gridCol w:w="1333"/>
        <w:gridCol w:w="4264"/>
      </w:tblGrid>
      <w:tr>
        <w:trPr>
          <w:tblHeader w:val="true"/>
        </w:trPr>
        <w:tc>
          <w:tcPr>
            <w:tcW w:type="dxa" w:w="10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Layer</w:t>
            </w:r>
          </w:p>
        </w:tc>
        <w:tc>
          <w:tcPr>
            <w:tcW w:type="dxa" w:w="22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Component</w:t>
            </w:r>
          </w:p>
        </w:tc>
        <w:tc>
          <w:tcPr>
            <w:tcW w:type="dxa" w:w="133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Version</w:t>
            </w:r>
          </w:p>
        </w:tc>
        <w:tc>
          <w:tcPr>
            <w:tcW w:type="dxa" w:w="426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 in this system</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 React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Component model for nineteen modules and the administration console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TypeScript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5.5.3</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Type discipline across 181 TSX and 36 TS source files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Vite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7.1.12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Development server, hot replacement and production bundling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React Router DOM</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7.12.0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Client-side routing and route guarding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Tailwind CSS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3.4.1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Utility styling and the design token set (electric, neon, cyber palettes)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Radix UI and shadcn primitives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 – 2.2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Accessible dialog, tab, select, dropdown and toast primitives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Monaco Editor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0.53.0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In-browser code editing with language services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Axios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1.11.0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HTTP access to the application tier, with an interceptor that attaches the bearer token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 client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 membership and live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jsPDF and html2pdf.js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4.0.0 / 0.14.0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Résumé and cover-letter PDF export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Firebase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12.4.0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Google identity token acquisition on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Stripe libraries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18.3.0 / 7.6.1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Declared but not used to create a payment session; the client links to externally hosted payment pages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Node.js with Express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5.2.1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REST interface, middleware pipeline, static file serving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Mongoose and the MongoDB driver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8.16.4 / 6.20.0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Persistence of thirty-two collections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jsonwebtoken</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9.0.2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Token signing and verification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bcrypt and bcryptjs</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6.0.0 / 3.0.2</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Password hashing and comparison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Socket.IO</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4.8.1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Contest rooms, participant counts, submission updates</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SDK</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4.104.0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item generation and evaluation</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Nodemailer</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7.0.11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One-time-password and password-reset mail over SMTP</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PDFKit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0.17.1</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Generation of interview, system-design and cheatsheet guides in a separate service on port 3001</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sanitize-html</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2.17.0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Global input sanitisation middleware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express-rate-limit</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8.1.0</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Throttling of the password-change endpoint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Google Gemini 2.0 Flash</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Study Buddy replies, quiz generation, note generation (invoked from the server and, in one path, from the client)</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OpenAI model (configurable)</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Skill-assessment questions and scoring</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Groq, LLaMA 3 8B</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Project recommendations, called directly from the browser</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Judge0</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Compilation and execution of submitted source code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YouTube Data API v3</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Course metadata and video catalogue</w:t>
            </w:r>
          </w:p>
        </w:tc>
      </w:tr>
      <w:tr>
        <w:tc>
          <w:tcPr>
            <w:tcW w:type="dxa" w:w="1066"/>
          </w:tcPr>
          <w:p>
            <w:pPr>
              <w:spacing w:after="40" w:before="40" w:line="252" w:lineRule="auto"/>
              <w:ind w:firstLine="0"/>
              <w:jc w:val="center"/>
            </w:pPr>
            <w:r/>
            <w:r>
              <w:rPr>
                <w:rFonts w:ascii="Times New Roman" w:hAnsi="Times New Roman" w:cs="Times New Roman" w:eastAsia="Times New Roman"/>
                <w:b w:val="0"/>
                <w:i w:val="0"/>
                <w:color w:val="000000"/>
                <w:sz w:val="20"/>
              </w:rPr>
              <w:t>External</w:t>
            </w:r>
          </w:p>
        </w:tc>
        <w:tc>
          <w:tcPr>
            <w:tcW w:type="dxa" w:w="2265"/>
          </w:tcPr>
          <w:p>
            <w:pPr>
              <w:spacing w:after="40" w:before="40" w:line="252" w:lineRule="auto"/>
              <w:ind w:firstLine="0"/>
              <w:jc w:val="left"/>
            </w:pPr>
            <w:r/>
            <w:r>
              <w:rPr>
                <w:rFonts w:ascii="Times New Roman" w:hAnsi="Times New Roman" w:cs="Times New Roman" w:eastAsia="Times New Roman"/>
                <w:b w:val="0"/>
                <w:i w:val="0"/>
                <w:color w:val="000000"/>
                <w:sz w:val="20"/>
              </w:rPr>
              <w:t>NewsAPI</w:t>
            </w:r>
          </w:p>
        </w:tc>
        <w:tc>
          <w:tcPr>
            <w:tcW w:type="dxa" w:w="1333"/>
          </w:tcPr>
          <w:p>
            <w:pPr>
              <w:spacing w:after="40" w:before="40" w:line="252" w:lineRule="auto"/>
              <w:ind w:firstLine="0"/>
              <w:jc w:val="left"/>
            </w:pPr>
            <w:r/>
            <w:r>
              <w:rPr>
                <w:rFonts w:ascii="Times New Roman" w:hAnsi="Times New Roman" w:cs="Times New Roman" w:eastAsia="Times New Roman"/>
                <w:b w:val="0"/>
                <w:i w:val="0"/>
                <w:color w:val="000000"/>
                <w:sz w:val="20"/>
              </w:rPr>
              <w:t>API</w:t>
            </w:r>
          </w:p>
        </w:tc>
        <w:tc>
          <w:tcPr>
            <w:tcW w:type="dxa" w:w="4264"/>
          </w:tcPr>
          <w:p>
            <w:pPr>
              <w:spacing w:after="40" w:before="40" w:line="252" w:lineRule="auto"/>
              <w:ind w:firstLine="0"/>
              <w:jc w:val="left"/>
            </w:pPr>
            <w:r/>
            <w:r>
              <w:rPr>
                <w:rFonts w:ascii="Times New Roman" w:hAnsi="Times New Roman" w:cs="Times New Roman" w:eastAsia="Times New Roman"/>
                <w:b w:val="0"/>
                <w:i w:val="0"/>
                <w:color w:val="000000"/>
                <w:sz w:val="20"/>
              </w:rPr>
              <w:t>Technology news aggregation</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discrepancies between the project synopsis and the inspected code deserve statement. The synopsis attributes the conversational assistant to Gemini and the assessment engine to the OpenAI interface with GPT-4; in the code the assessment model is named by an environment variable and the conversational assistant is served through a backend route that proxies to Gemini 2.0 Flash, so the functional allocation in the synopsis is broadly correct. The synopsis, however, lists the cover letter and the payments integration as features of the platform. The cover letter exists only as a client component with a browser-side export, and no payment integration exists on the server at all; the server's subscription module is a newsletter sign-up that stores an e-mail address.</w:t>
      </w:r>
    </w:p>
    <w:p>
      <w:pPr>
        <w:pStyle w:val="SectionHeading"/>
      </w:pPr>
      <w:r>
        <w:rPr>
          <w:rFonts w:ascii="Times New Roman" w:hAnsi="Times New Roman" w:cs="Times New Roman" w:eastAsia="Times New Roman"/>
          <w:b/>
          <w:i w:val="0"/>
          <w:color w:val="000000"/>
          <w:sz w:val="28"/>
        </w:rPr>
        <w:t>3.7  External Services and Dependencies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dependencies of the system on external services are summarised in Table 3.5 together with the behaviour observed when the corresponding credential is absent. This table is central to the verification chapters, because it explains why several modules could not be exercised end to end in the evaluation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3.5: External services, credentials and degradation behaviour</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23"/>
        <w:gridCol w:w="2667"/>
        <w:gridCol w:w="1855"/>
        <w:gridCol w:w="2783"/>
      </w:tblGrid>
      <w:tr>
        <w:trPr>
          <w:tblHeader w:val="true"/>
        </w:trPr>
        <w:tc>
          <w:tcPr>
            <w:tcW w:type="dxa" w:w="1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Service</w:t>
            </w:r>
          </w:p>
        </w:tc>
        <w:tc>
          <w:tcPr>
            <w:tcW w:type="dxa" w:w="266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Used by</w:t>
            </w:r>
          </w:p>
        </w:tc>
        <w:tc>
          <w:tcPr>
            <w:tcW w:type="dxa" w:w="18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Credential</w:t>
            </w:r>
          </w:p>
        </w:tc>
        <w:tc>
          <w:tcPr>
            <w:tcW w:type="dxa" w:w="278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Behaviour when absent or unreachable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Gemini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aiController.js for the Study Buddy, quiz and note generation</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GEMINI_API_KEY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request fails and the error object is returned to the client; no alternative provider is attempted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OpenAI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assessmentController.js and dashboardController.js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OPENAI_API_KEY and the model name</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Assessment generation fails; the dashboard falls back to three hard-coded project suggestions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Groq inference</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utils/groqAPI.ts, called from the browser</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VITE_GROQ_API_KEY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client helper falls back to a locally generated response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through RapidAPI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compilerRoutes.js for the practice workspace</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RAPID_API_KEY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Compilation does not occur and no result is returned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Judge0, self-hosted</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contestController.js for contest submissions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JUDGE0_API_URL, JUDGE0_API_KEY and JUDGE0_HOST</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Submissions cannot be graded and the leaderboard does not advance</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YouTube Data v3</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utils/youtubeService.js and adminCourseController.js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YOUTUBE_API_KEY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service returns a built-in mock catalogue of courses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NewsAPI</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newsAggregator.js and the latest-news handler in userController.js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NEWS_API_KEY</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feed endpoint returns an error status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SMTP over Gmail</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utils/mailer.js for verification and reset messages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MAIL_USER and MAIL_PASS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Registration cannot be completed and the password-reset link cannot be delivered</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MongoDB</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config/db.js</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MONGO_URI</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server logs the failure and terminates</w:t>
            </w:r>
          </w:p>
        </w:tc>
      </w:tr>
      <w:tr>
        <w:tc>
          <w:tcPr>
            <w:tcW w:type="dxa" w:w="1623"/>
          </w:tcPr>
          <w:p>
            <w:pPr>
              <w:spacing w:after="40" w:before="40" w:line="252" w:lineRule="auto"/>
              <w:ind w:firstLine="0"/>
              <w:jc w:val="center"/>
            </w:pPr>
            <w:r/>
            <w:r>
              <w:rPr>
                <w:rFonts w:ascii="Times New Roman" w:hAnsi="Times New Roman" w:cs="Times New Roman" w:eastAsia="Times New Roman"/>
                <w:b w:val="0"/>
                <w:i w:val="0"/>
                <w:color w:val="000000"/>
                <w:sz w:val="20"/>
              </w:rPr>
              <w:t>Firebase client</w:t>
            </w:r>
          </w:p>
        </w:tc>
        <w:tc>
          <w:tcPr>
            <w:tcW w:type="dxa" w:w="2667"/>
          </w:tcPr>
          <w:p>
            <w:pPr>
              <w:spacing w:after="40" w:before="40" w:line="252" w:lineRule="auto"/>
              <w:ind w:firstLine="0"/>
              <w:jc w:val="left"/>
            </w:pPr>
            <w:r/>
            <w:r>
              <w:rPr>
                <w:rFonts w:ascii="Times New Roman" w:hAnsi="Times New Roman" w:cs="Times New Roman" w:eastAsia="Times New Roman"/>
                <w:b w:val="0"/>
                <w:i w:val="0"/>
                <w:color w:val="000000"/>
                <w:sz w:val="20"/>
              </w:rPr>
              <w:t>utils/firebase.ts for the Google identity flow</w:t>
            </w:r>
          </w:p>
        </w:tc>
        <w:tc>
          <w:tcPr>
            <w:tcW w:type="dxa" w:w="1855"/>
          </w:tcPr>
          <w:p>
            <w:pPr>
              <w:spacing w:after="40" w:before="40" w:line="252" w:lineRule="auto"/>
              <w:ind w:firstLine="0"/>
              <w:jc w:val="left"/>
            </w:pPr>
            <w:r/>
            <w:r>
              <w:rPr>
                <w:rFonts w:ascii="Times New Roman" w:hAnsi="Times New Roman" w:cs="Times New Roman" w:eastAsia="Times New Roman"/>
                <w:b w:val="0"/>
                <w:i w:val="0"/>
                <w:color w:val="000000"/>
                <w:sz w:val="20"/>
              </w:rPr>
              <w:t>VITE_FIREBASE_* variables</w:t>
            </w:r>
          </w:p>
        </w:tc>
        <w:tc>
          <w:tcPr>
            <w:tcW w:type="dxa" w:w="2783"/>
          </w:tcPr>
          <w:p>
            <w:pPr>
              <w:spacing w:after="40" w:before="40" w:line="252" w:lineRule="auto"/>
              <w:ind w:firstLine="0"/>
              <w:jc w:val="left"/>
            </w:pPr>
            <w:r/>
            <w:r>
              <w:rPr>
                <w:rFonts w:ascii="Times New Roman" w:hAnsi="Times New Roman" w:cs="Times New Roman" w:eastAsia="Times New Roman"/>
                <w:b w:val="0"/>
                <w:i w:val="0"/>
                <w:color w:val="000000"/>
                <w:sz w:val="20"/>
              </w:rPr>
              <w:t>The Google sign-in button cannot complete the exchange</w:t>
            </w:r>
          </w:p>
        </w:tc>
      </w:tr>
    </w:tbl>
    <w:p>
      <w:pPr>
        <w:spacing w:after="80"/>
      </w:pPr>
    </w:p>
    <w:p>
      <w:pPr>
        <w:pStyle w:val="SectionHeading"/>
      </w:pPr>
      <w:r>
        <w:rPr>
          <w:rFonts w:ascii="Times New Roman" w:hAnsi="Times New Roman" w:cs="Times New Roman" w:eastAsia="Times New Roman"/>
          <w:b/>
          <w:i w:val="0"/>
          <w:color w:val="000000"/>
          <w:sz w:val="28"/>
        </w:rPr>
        <w:t>3.8  Database and Storage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data tier is a document database accessed through the object document mapper. Thirty-two schemas are defined, of which twenty-nine are reachable from a route or a controller; three are declared and never imported, and one is an empty file that defines no schema at all. The principal collections and their relationships are summarised in Table 3.6 and are drawn in the entity-relationship diagram of Figure 4.4.</w:t>
      </w:r>
    </w:p>
    <w:p>
      <w:pPr>
        <w:keepNext/>
        <w:spacing w:before="200" w:after="80" w:line="240" w:lineRule="auto"/>
        <w:ind w:firstLine="0"/>
        <w:jc w:val="center"/>
      </w:pPr>
      <w:r>
        <w:rPr>
          <w:rFonts w:ascii="Times New Roman" w:hAnsi="Times New Roman" w:cs="Times New Roman" w:eastAsia="Times New Roman"/>
          <w:b/>
          <w:i w:val="0"/>
          <w:color w:val="000000"/>
          <w:sz w:val="22"/>
        </w:rPr>
        <w:t>Table 3.6: Principal collections, purpose and notable fields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957"/>
        <w:gridCol w:w="2813"/>
        <w:gridCol w:w="4158"/>
      </w:tblGrid>
      <w:tr>
        <w:trPr>
          <w:tblHeader w:val="true"/>
        </w:trPr>
        <w:tc>
          <w:tcPr>
            <w:tcW w:type="dxa" w:w="19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Collection</w:t>
            </w:r>
          </w:p>
        </w:tc>
        <w:tc>
          <w:tcPr>
            <w:tcW w:type="dxa" w:w="281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c>
          <w:tcPr>
            <w:tcW w:type="dxa" w:w="4158"/>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Principal fields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User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Account, credential and gamification state</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name, email, password hash, role, googleId, streak, points and goal counters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OtpToken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One-time passwords for registration and password reset</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email, otp, purpose, expiry, verification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User notes, shared notes and generated notes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title, content, topicId, topicName, isAiGenerated, tags, isPublic, files, likes, views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Reviews, Progress</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Per-topic ratings and completion state in the learning tracks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topicId, rating, comment, completed, timestamps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Course, LearningModule, AdminCourse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Course catalogue, module structure and administrator-authored course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courseId, title, description, modules, youtube metadata, module order</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Quiz, QuizAttempt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Authored instruments and the learner's responses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topic, difficulty, questions, answers, score, totalQuestions, timeTaken, completedAt</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SkillAssessment</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Generated assessments and evaluations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track, questions, answers, score, accuracy, skillLevel, improvements, roadmap</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Contest, Problem, ContestSubmission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Contest definition, problem statements and judged submissions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title, startTime, status, problems, statement, testCases, difficulty, status, points, penalty, attempts</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VideoProgress, SavedVideo</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Watch position and bookmarks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videoId, courseId, watchedSeconds, completed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Question, Answer</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Community discussions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question, answers, accepted answer, resolved flag</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Notification</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In-application alerts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userId, message, type, read</w:t>
            </w:r>
          </w:p>
        </w:tc>
      </w:tr>
      <w:tr>
        <w:tc>
          <w:tcPr>
            <w:tcW w:type="dxa" w:w="1957"/>
          </w:tcPr>
          <w:p>
            <w:pPr>
              <w:spacing w:after="40" w:before="40" w:line="252" w:lineRule="auto"/>
              <w:ind w:firstLine="0"/>
              <w:jc w:val="center"/>
            </w:pPr>
            <w:r/>
            <w:r>
              <w:rPr>
                <w:rFonts w:ascii="Times New Roman" w:hAnsi="Times New Roman" w:cs="Times New Roman" w:eastAsia="Times New Roman"/>
                <w:b w:val="0"/>
                <w:i w:val="0"/>
                <w:color w:val="000000"/>
                <w:sz w:val="20"/>
              </w:rPr>
              <w:t>AdminLog, SystemSettings, Feedback, Faq, ContactSupport, Subscriber, VisitingWebsite</w:t>
            </w:r>
          </w:p>
        </w:tc>
        <w:tc>
          <w:tcPr>
            <w:tcW w:type="dxa" w:w="2813"/>
          </w:tcPr>
          <w:p>
            <w:pPr>
              <w:spacing w:after="40" w:before="40" w:line="252" w:lineRule="auto"/>
              <w:ind w:firstLine="0"/>
              <w:jc w:val="left"/>
            </w:pPr>
            <w:r/>
            <w:r>
              <w:rPr>
                <w:rFonts w:ascii="Times New Roman" w:hAnsi="Times New Roman" w:cs="Times New Roman" w:eastAsia="Times New Roman"/>
                <w:b w:val="0"/>
                <w:i w:val="0"/>
                <w:color w:val="000000"/>
                <w:sz w:val="20"/>
              </w:rPr>
              <w:t>Administration, configuration and ancillary records</w:t>
            </w:r>
          </w:p>
        </w:tc>
        <w:tc>
          <w:tcPr>
            <w:tcW w:type="dxa" w:w="4158"/>
          </w:tcPr>
          <w:p>
            <w:pPr>
              <w:spacing w:after="40" w:before="40" w:line="252" w:lineRule="auto"/>
              <w:ind w:firstLine="0"/>
              <w:jc w:val="left"/>
            </w:pPr>
            <w:r/>
            <w:r>
              <w:rPr>
                <w:rFonts w:ascii="Times New Roman" w:hAnsi="Times New Roman" w:cs="Times New Roman" w:eastAsia="Times New Roman"/>
                <w:b w:val="0"/>
                <w:i w:val="0"/>
                <w:color w:val="000000"/>
                <w:sz w:val="20"/>
              </w:rPr>
              <w:t>action, adminId, settings key and value, content, email, count</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properties of the storage approach are worth recording. First, the schema of a collection is declared in code and enforced by the mapper at run time, with unknown fields discarded by default; this strictness is the direct cause of the defect in the note-liking operation reported in Section 6.4, in which the route writes a field that the schema does not declare. Second, several collections carry compound indexes on the user identifier and the topic identifier, and on the visibility and topic pair, which are the access patterns of the notes listing. Third, file attachments are stored on the file system of the server and are served as static content from a dedicated path, with the metadata held in the notes collection; this choice avoids placing binary data in the document store but requires that the server file system be writable and that it be shared if the server is replicated.</w:t>
      </w:r>
    </w:p>
    <w:p>
      <w:pPr>
        <w:pStyle w:val="SectionHeading"/>
      </w:pPr>
      <w:r>
        <w:rPr>
          <w:rFonts w:ascii="Times New Roman" w:hAnsi="Times New Roman" w:cs="Times New Roman" w:eastAsia="Times New Roman"/>
          <w:b/>
          <w:i w:val="0"/>
          <w:color w:val="000000"/>
          <w:sz w:val="28"/>
        </w:rPr>
        <w:t>3.9  Security and Privacy Considerations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system stores personal data of three kinds: credentials and identity data, learning and assessment activity, and free-text content created by users. The following controls are present in the code.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Passwords are hashed with a memory-hard key derivation function before storage and compared in constant time by the library.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Tokens are signed with a secret held in the environment and are delivered in a cookie declared HTTP-only and secure, with a same-site policy and a three-day expiry.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Every mutating and reading route that exposes personal data requires an authenticated identity, and the routes that expose administrative resources additionally require the administrative role.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All request bodies, query strings and route parameters pass through a sanitising middleware that removes unsafe markup before the value reaches a controller.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password-change endpoint is throttled by a dedicated rate limiter.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Updates to the system configuration additionally require a secondary secret supplied in a header, which separates the configuration operation from ordinary administrator activity.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weaknesses were identified and are reported honestly rather than omitted.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Two provider credentials are compiled into the browser bundle, because the build tool inlines every variable prefixed for client exposure. Any visitor can extract them and use them at will. The correct remedy is to proxy these calls through the server, as the conversational path already does.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signing secret is committed in a utility script at the root of the client directory, and a news service credential appears as a literal in the server source. Neither value is reproduced in this report, and both should be rotated and removed from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administration feedback group and the compiler, the conversational and the résumé-scanning endpoints are reachable without authentication, which exposes them to anonymous use.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socket handshake resolves the user from a claim that the login token does not contain, and admits the connection when resolution fails, so that the real-time channel carries no authenticated identity.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cookie is declared secure unconditionally, which prevents the session from being established over plain HTTP in a local development environment.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application trusts forwarded protocol headers unconditionally, which weakens the address-based logic of the rate limiter when the service is deployed behind a proxy that does not overwrite the header.</w:t>
      </w:r>
    </w:p>
    <w:p>
      <w:pPr>
        <w:pStyle w:val="SectionHeading"/>
      </w:pPr>
      <w:r>
        <w:rPr>
          <w:rFonts w:ascii="Times New Roman" w:hAnsi="Times New Roman" w:cs="Times New Roman" w:eastAsia="Times New Roman"/>
          <w:b/>
          <w:i w:val="0"/>
          <w:color w:val="000000"/>
          <w:sz w:val="28"/>
        </w:rPr>
        <w:t>3.10  Assumptions and Constraints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MongoDB instance is available and reachable; the design does not provide for a relational alternative.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inference services continue to expose the interfaces used by the code, namely a content generation endpoint for Gemini and a chat completion endpoint for the OpenAI and Groq compatible interfaces.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 Judge0-compatible service is available with the language identifiers assumed by the code, in particular the identifiers for C, C++, Java, Python and JavaScript.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browser environment supports the modern JavaScript and CSS features used by the client and the editor.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For the deployment to function as a whole, the client and the server must be reachable under a single origin, or a proxy rule must be configured; the deployment configuration observed in the repository rewrites every unmatched path to the client entry point and therefore does not, by itself, proxy the interface paths to the server.</w:t>
      </w:r>
    </w:p>
    <w:p>
      <w:pPr>
        <w:pStyle w:val="SectionHeading"/>
      </w:pPr>
      <w:r>
        <w:rPr>
          <w:rFonts w:ascii="Times New Roman" w:hAnsi="Times New Roman" w:cs="Times New Roman" w:eastAsia="Times New Roman"/>
          <w:b/>
          <w:i w:val="0"/>
          <w:color w:val="000000"/>
          <w:sz w:val="28"/>
        </w:rPr>
        <w:t>3.11  Feasibility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technically feasible within the stated constraints. Every component it depends upon is either a freely available library or a documented commercial interface, and the architecture requires no capability that is not present in the inspected runtime. The volume of code, approximately forty-two hundred files in total, is at the upper end of what a small team can maintain but is consistent with the open source contribution model that the project adopts.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economically feasible in the sense that its running cost is dominated by the free tiers of the third-party services and by a static host and a small application host for the server. The principal cost exposure is the inference services, which are metered per token or per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operationally feasible for its intended scale. The observed operational weaknesses are concentrated in configuration rather than in design, and the majority of them are corrected by a small number of changes: aligning the client storage keys, adding the identity middleware to the three unprotected route groups, reconciling the token claims with the socket handshake, and moving the two browser-exposed provider credentials behind the server.</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4</w:t>
      </w:r>
    </w:p>
    <w:p>
      <w:pPr>
        <w:pStyle w:val="ChapterTitle"/>
      </w:pPr>
      <w:r>
        <w:rPr>
          <w:rFonts w:ascii="Times New Roman" w:hAnsi="Times New Roman" w:cs="Times New Roman" w:eastAsia="Times New Roman"/>
          <w:b/>
          <w:i w:val="0"/>
          <w:color w:val="000000"/>
          <w:sz w:val="36"/>
        </w:rPr>
        <w:t>DESIGN</w:t>
      </w:r>
    </w:p>
    <w:p>
      <w:pPr>
        <w:pStyle w:val="SectionHeading"/>
      </w:pPr>
      <w:r>
        <w:rPr>
          <w:rFonts w:ascii="Times New Roman" w:hAnsi="Times New Roman" w:cs="Times New Roman" w:eastAsia="Times New Roman"/>
          <w:b/>
          <w:i w:val="0"/>
          <w:color w:val="000000"/>
          <w:sz w:val="28"/>
        </w:rPr>
        <w:t>4.1  Design Principles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of Elevora AI follows five principles that were applied consistently in the source and that are visible in the structure of the repository.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One shell, many modules. The application shell owns the session, the navigation, the notification channel and the theme. A module is added by registering a route and, where required, a navigation entry; it does not introduce a second shell.</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Identity once, applied everywhere. A single token, issued once, is understood by the route guard on the client, by the identity middleware on the server, by the file-upload path and by the socket handshake. This is the principle that the defect discussed in Section 4.8 violates.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server decides. Every mutation is performed by the server, which owns the authorisation check, the ownership test and the persistence. The client owns presentation and, in the documented exceptions of the résumé and cover-letter modules, the local document state.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Graceful degradation at the boundary. A module whose external service is unavailable reports an error rather than preventing the application from loading; the exception is the practice workspace, whose compiler endpoint has no fallback.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code without a route. Every persistent entity in the data model is reachable from an endpoint, except for the three orphaned schemas, which are recorded as such in Table 3.6.</w:t>
      </w:r>
    </w:p>
    <w:p>
      <w:pPr>
        <w:pStyle w:val="SectionHeading"/>
      </w:pPr>
      <w:r>
        <w:rPr>
          <w:rFonts w:ascii="Times New Roman" w:hAnsi="Times New Roman" w:cs="Times New Roman" w:eastAsia="Times New Roman"/>
          <w:b/>
          <w:i w:val="0"/>
          <w:color w:val="000000"/>
          <w:sz w:val="28"/>
        </w:rPr>
        <w:t>4.2  Overall System Architecture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4.1 presents the overall architecture of the system as three horizontal bands. The upper band is the presentation tier: the single-page application with its nineteen learner modules, the embedded code workspace, the conversational panel, the administration console and the socket client. The middle band is the application tier, in which the route groups are shown in the grouping actually used by the server. The lower band is the data tier, in which the principal collections are grouped by the functional area that owns them. Beneath these, a fourth band represents the external services with which the application tier and, in two documented cases, the presentation tier communicate directly.</w:t>
      </w:r>
    </w:p>
    <w:p>
      <w:pPr>
        <w:keepNext/>
        <w:spacing w:before="200" w:after="40"/>
        <w:ind w:firstLine="0"/>
        <w:jc w:val="center"/>
      </w:pPr>
      <w:r>
        <w:drawing>
          <wp:inline xmlns:a="http://schemas.openxmlformats.org/drawingml/2006/main" xmlns:pic="http://schemas.openxmlformats.org/drawingml/2006/picture">
            <wp:extent cx="5577840" cy="5010642"/>
            <wp:docPr id="1" name="Picture 1"/>
            <wp:cNvGraphicFramePr>
              <a:graphicFrameLocks noChangeAspect="1"/>
            </wp:cNvGraphicFramePr>
            <a:graphic>
              <a:graphicData uri="http://schemas.openxmlformats.org/drawingml/2006/picture">
                <pic:pic>
                  <pic:nvPicPr>
                    <pic:cNvPr id="0" name="fig4_1_architecture.png"/>
                    <pic:cNvPicPr/>
                  </pic:nvPicPr>
                  <pic:blipFill>
                    <a:blip r:embed="rId12"/>
                    <a:stretch>
                      <a:fillRect/>
                    </a:stretch>
                  </pic:blipFill>
                  <pic:spPr>
                    <a:xfrm>
                      <a:off x="0" y="0"/>
                      <a:ext cx="5577840" cy="501064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4.1: Overall system architecture of Elevora AI</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characteristics of the architecture deserve comment. The application tier is stateless with respect to the client, which permits any number of instances behind a load balancer; the only server-side session state is the file system that holds note attachments. The presentation tier communicates with the application tier through three channels: the HTTP interface for request and response, the WebSocket channel for contest events, and the static path for note attachments. The third characteristic is that the diagram does not show the single-page rewrite in the deployment configuration, which sends unmatched paths to the client entry point; the consequence of that configuration for the interface paths is discussed in Section 6.3.</w:t>
      </w:r>
    </w:p>
    <w:p>
      <w:pPr>
        <w:pStyle w:val="SectionHeading"/>
      </w:pPr>
      <w:r>
        <w:rPr>
          <w:rFonts w:ascii="Times New Roman" w:hAnsi="Times New Roman" w:cs="Times New Roman" w:eastAsia="Times New Roman"/>
          <w:b/>
          <w:i w:val="0"/>
          <w:color w:val="000000"/>
          <w:sz w:val="28"/>
        </w:rPr>
        <w:t>4.3  Module Organisation and Component Boundaries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organised by feature rather than by layer. The pages directory holds the routed screens, the components directory holds the shared and feature-specific components, the contexts directory holds the four providers that carry cross-module state, the services directory holds the modules that wrap the HTTP client, and the api directory holds the thin endpoint wrappers used by the administration and assessment screens. Figure 4.2 maps the nineteen navigation entries to their functional groups and to the server route group that serves each one, and it marks the two groups for which the server provides no support.</w:t>
      </w:r>
    </w:p>
    <w:p>
      <w:pPr>
        <w:keepNext/>
        <w:spacing w:before="200" w:after="40"/>
        <w:ind w:firstLine="0"/>
        <w:jc w:val="center"/>
      </w:pPr>
      <w:r>
        <w:drawing>
          <wp:inline xmlns:a="http://schemas.openxmlformats.org/drawingml/2006/main" xmlns:pic="http://schemas.openxmlformats.org/drawingml/2006/picture">
            <wp:extent cx="5577840" cy="5416231"/>
            <wp:docPr id="2" name="Picture 2"/>
            <wp:cNvGraphicFramePr>
              <a:graphicFrameLocks noChangeAspect="1"/>
            </wp:cNvGraphicFramePr>
            <a:graphic>
              <a:graphicData uri="http://schemas.openxmlformats.org/drawingml/2006/picture">
                <pic:pic>
                  <pic:nvPicPr>
                    <pic:cNvPr id="0" name="fig4_8_module_map.png"/>
                    <pic:cNvPicPr/>
                  </pic:nvPicPr>
                  <pic:blipFill>
                    <a:blip r:embed="rId13"/>
                    <a:stretch>
                      <a:fillRect/>
                    </a:stretch>
                  </pic:blipFill>
                  <pic:spPr>
                    <a:xfrm>
                      <a:off x="0" y="0"/>
                      <a:ext cx="5577840" cy="541623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4.2: Front-end module map and the corresponding server route groups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follows a matching convention. A functional area has one route file, one or more controller files and one or more model files. The route file declares the mount path relative to the application root, the HTTP method, the middleware chain and the handler. The controller holds the logic and owns the interactions with the models and with the external services. The model declares the schema, the indexes and, where the schema benefits from it, the virtual properties. This convention is followed consistently by the thirty route modules, which is why a reader can move from the API documentation published by the application to the implementing file in a single step.</w:t>
      </w:r>
    </w:p>
    <w:p>
      <w:pPr>
        <w:pStyle w:val="SectionHeading"/>
      </w:pPr>
      <w:r>
        <w:rPr>
          <w:rFonts w:ascii="Times New Roman" w:hAnsi="Times New Roman" w:cs="Times New Roman" w:eastAsia="Times New Roman"/>
          <w:b/>
          <w:i w:val="0"/>
          <w:color w:val="000000"/>
          <w:sz w:val="28"/>
        </w:rPr>
        <w:t>4.4  Use-Case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states the use-case model of the system. The learner actor performs sixteen use cases, grouped in the figure into registration and profile management, learning, assessment, code practice, contest participation and community participation. The administrator actor performs six use cases, all of which are drawn inside the administration boundary. The external services actor is connected to the code practice use case, because the execution of a submitted program is delegated to the compiler service rather than performed by the platform.</w:t>
      </w:r>
    </w:p>
    <w:p>
      <w:pPr>
        <w:keepNext/>
        <w:spacing w:before="200" w:after="40"/>
        <w:ind w:firstLine="0"/>
        <w:jc w:val="center"/>
      </w:pPr>
      <w:r>
        <w:drawing>
          <wp:inline xmlns:a="http://schemas.openxmlformats.org/drawingml/2006/main" xmlns:pic="http://schemas.openxmlformats.org/drawingml/2006/picture">
            <wp:extent cx="5577840" cy="5114197"/>
            <wp:docPr id="3" name="Picture 3"/>
            <wp:cNvGraphicFramePr>
              <a:graphicFrameLocks noChangeAspect="1"/>
            </wp:cNvGraphicFramePr>
            <a:graphic>
              <a:graphicData uri="http://schemas.openxmlformats.org/drawingml/2006/picture">
                <pic:pic>
                  <pic:nvPicPr>
                    <pic:cNvPr id="0" name="fig4_2_usecase.png"/>
                    <pic:cNvPicPr/>
                  </pic:nvPicPr>
                  <pic:blipFill>
                    <a:blip r:embed="rId14"/>
                    <a:stretch>
                      <a:fillRect/>
                    </a:stretch>
                  </pic:blipFill>
                  <pic:spPr>
                    <a:xfrm>
                      <a:off x="0" y="0"/>
                      <a:ext cx="5577840" cy="5114197"/>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4.3: Use-case diagram for the learner, the administrator and the external services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use-case model clarifies an important boundary of the system. The platform does not itself place the learner in employment: the placement module supplies prepared material and links, and the résumé and cover-letter modules produce documents, but no recruitment workflow is implemented. Similarly, the community module implements question and answer exchange with resolution marking and acceptance, but no messaging or notification between members beyond the general notification channel is provided.</w:t>
      </w:r>
    </w:p>
    <w:p>
      <w:pPr>
        <w:pStyle w:val="SectionHeading"/>
      </w:pPr>
      <w:r>
        <w:rPr>
          <w:rFonts w:ascii="Times New Roman" w:hAnsi="Times New Roman" w:cs="Times New Roman" w:eastAsia="Times New Roman"/>
          <w:b/>
          <w:i w:val="0"/>
          <w:color w:val="000000"/>
          <w:sz w:val="28"/>
        </w:rPr>
        <w:t>4.5  Data Model and Entity Relationships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entity-relationship diagram of Figure 4.4 is derived directly from the Mongoose schemas. The diagram shows the eleven entities that are the subject of reference relationships and omits the remaining collections, which are independent of the others.</w:t>
      </w:r>
    </w:p>
    <w:p>
      <w:pPr>
        <w:keepNext/>
        <w:spacing w:before="200" w:after="40"/>
        <w:ind w:firstLine="0"/>
        <w:jc w:val="center"/>
      </w:pPr>
      <w:r>
        <w:drawing>
          <wp:inline xmlns:a="http://schemas.openxmlformats.org/drawingml/2006/main" xmlns:pic="http://schemas.openxmlformats.org/drawingml/2006/picture">
            <wp:extent cx="5669280" cy="5254792"/>
            <wp:docPr id="4" name="Picture 4"/>
            <wp:cNvGraphicFramePr>
              <a:graphicFrameLocks noChangeAspect="1"/>
            </wp:cNvGraphicFramePr>
            <a:graphic>
              <a:graphicData uri="http://schemas.openxmlformats.org/drawingml/2006/picture">
                <pic:pic>
                  <pic:nvPicPr>
                    <pic:cNvPr id="0" name="fig4_3_erd.png"/>
                    <pic:cNvPicPr/>
                  </pic:nvPicPr>
                  <pic:blipFill>
                    <a:blip r:embed="rId15"/>
                    <a:stretch>
                      <a:fillRect/>
                    </a:stretch>
                  </pic:blipFill>
                  <pic:spPr>
                    <a:xfrm>
                      <a:off x="0" y="0"/>
                      <a:ext cx="5669280" cy="525479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4.4: Entity-relationship model derived from the Mongoose schemas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central entity is the user, to which the notes, the reviews, the progress records, the quiz attempts, the skill assessments, the contest submissions, the video progress records and the notifications are all attached. The quiz and the contest form two further aggregate roots, each with a child collection that records a completed activity: an attempt for a quiz and a submission for a contest. The remaining entities are weak in the sense that they have no independent lifecycle.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modelling decisions are worth recording. The note entity carries an array of user identifiers for the likes and a virtual property that exposes the count of those identifiers; the property is declared as a getter only, with no setter, which is correct for a derived value but means that the route that attempts to assign to it fails at run time. The contest submission entity carries both the number of attempts and the accumulated penalty, which are computed by the controller at judging time and stored, so that the leaderboard can be computed without recomputing the scoring rule.</w:t>
      </w:r>
    </w:p>
    <w:p>
      <w:pPr>
        <w:pStyle w:val="SectionHeading"/>
      </w:pPr>
      <w:r>
        <w:rPr>
          <w:rFonts w:ascii="Times New Roman" w:hAnsi="Times New Roman" w:cs="Times New Roman" w:eastAsia="Times New Roman"/>
          <w:b/>
          <w:i w:val="0"/>
          <w:color w:val="000000"/>
          <w:sz w:val="28"/>
        </w:rPr>
        <w:t>4.6  Authentication and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4.5 shows the flow of the authentication and authorisation processes. Two paths reach a token: the registration path, in which a one-time password is mailed to the applicant and verified against the stored token record, and the credential path, in which the password is compared with the stored hash. A third path, the Google path, exchanges an identity token obtained by the client library for a session token. All three issue a token whose payload contains the user identifier and the role.</w:t>
      </w:r>
    </w:p>
    <w:p>
      <w:pPr>
        <w:keepNext/>
        <w:spacing w:before="200" w:after="40"/>
        <w:ind w:firstLine="0"/>
        <w:jc w:val="center"/>
      </w:pPr>
      <w:r>
        <w:drawing>
          <wp:inline xmlns:a="http://schemas.openxmlformats.org/drawingml/2006/main" xmlns:pic="http://schemas.openxmlformats.org/drawingml/2006/picture">
            <wp:extent cx="5577840" cy="4299803"/>
            <wp:docPr id="5" name="Picture 5"/>
            <wp:cNvGraphicFramePr>
              <a:graphicFrameLocks noChangeAspect="1"/>
            </wp:cNvGraphicFramePr>
            <a:graphic>
              <a:graphicData uri="http://schemas.openxmlformats.org/drawingml/2006/picture">
                <pic:pic>
                  <pic:nvPicPr>
                    <pic:cNvPr id="0" name="fig4_4_auth_flow.png"/>
                    <pic:cNvPicPr/>
                  </pic:nvPicPr>
                  <pic:blipFill>
                    <a:blip r:embed="rId16"/>
                    <a:stretch>
                      <a:fillRect/>
                    </a:stretch>
                  </pic:blipFill>
                  <pic:spPr>
                    <a:xfrm>
                      <a:off x="0" y="0"/>
                      <a:ext cx="5577840" cy="429980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4.5: Authentication, token issuance and role-based authorisation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On each subsequent request the identity middleware reads the token from the cookie or from the authorization header, verifies the signature, loads the user record with the password excluded, and attaches the record to the request. The authorisation middleware then compares the role in that record with the role the route requires, and rejects the request with a status of 401 when the identity is absent or invalid and 403 when the role is insufficient. The design intent is that identity is always established before authorisation is evaluated; the inspection identified route groups that invert this order, and the consequence is recorded in Section 6.4.</w:t>
      </w:r>
    </w:p>
    <w:p>
      <w:pPr>
        <w:pStyle w:val="SectionHeading"/>
      </w:pPr>
      <w:r>
        <w:rPr>
          <w:rFonts w:ascii="Times New Roman" w:hAnsi="Times New Roman" w:cs="Times New Roman" w:eastAsia="Times New Roman"/>
          <w:b/>
          <w:i w:val="0"/>
          <w:color w:val="000000"/>
          <w:sz w:val="28"/>
        </w:rPr>
        <w:t>4.7  Artificial Intelligence Request and Response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artificial-intelligence features of the system are reached in three ways. Figure 4.6 traces the conversational path, in which the learner types a question in the Study Buddy panel, the client posts it to the server route, the controller forwards it to the Gemini content generation interface with the provider key taken from the environment, and the reply is returned to the browser and rendered as Markdown with syntax highlighting.</w:t>
      </w:r>
    </w:p>
    <w:p>
      <w:pPr>
        <w:keepNext/>
        <w:spacing w:before="200" w:after="40"/>
        <w:ind w:firstLine="0"/>
        <w:jc w:val="center"/>
      </w:pPr>
      <w:r>
        <w:drawing>
          <wp:inline xmlns:a="http://schemas.openxmlformats.org/drawingml/2006/main" xmlns:pic="http://schemas.openxmlformats.org/drawingml/2006/picture">
            <wp:extent cx="5577840" cy="3201014"/>
            <wp:docPr id="6" name="Picture 6"/>
            <wp:cNvGraphicFramePr>
              <a:graphicFrameLocks noChangeAspect="1"/>
            </wp:cNvGraphicFramePr>
            <a:graphic>
              <a:graphicData uri="http://schemas.openxmlformats.org/drawingml/2006/picture">
                <pic:pic>
                  <pic:nvPicPr>
                    <pic:cNvPr id="0" name="fig4_5_ai_sequence.png"/>
                    <pic:cNvPicPr/>
                  </pic:nvPicPr>
                  <pic:blipFill>
                    <a:blip r:embed="rId17"/>
                    <a:stretch>
                      <a:fillRect/>
                    </a:stretch>
                  </pic:blipFill>
                  <pic:spPr>
                    <a:xfrm>
                      <a:off x="0" y="0"/>
                      <a:ext cx="5577840" cy="3201014"/>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4.6: Request and response sequence for the AI Study Buddy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generative path differs in that the output is stored rather than displayed. When the learner requests a generated quiz, the controller builds a prompt from the requested topic, difficulty and question count, sends it to the provider, parses the returned items, assembles a quiz document with its questions and returns it, after which the learner may attempt it through the ordinary quiz interface and the resulting attempt is scored against the stored items. The note-generation path is analogous: the generated text is stored as a note with the flag that identifies it as machine-generated, so that it can be listed separately from the learner's own material.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assessment path is the most structured of the three. The controller holds a configuration table of five tracks, each of which specifies the domain, the number of items and the prompt template, and it uses the OpenAI interface to generate the items and, in a second pass, to evaluate the learner's answers and produce a score, an accuracy, an identified set of weaknesses and a generated improvement plan. The generated instrument and the responses are both persisted with the attempt, which makes the evaluation reproducible.</w:t>
      </w:r>
    </w:p>
    <w:p>
      <w:pPr>
        <w:pStyle w:val="SectionHeading"/>
      </w:pPr>
      <w:r>
        <w:rPr>
          <w:rFonts w:ascii="Times New Roman" w:hAnsi="Times New Roman" w:cs="Times New Roman" w:eastAsia="Times New Roman"/>
          <w:b/>
          <w:i w:val="0"/>
          <w:color w:val="000000"/>
          <w:sz w:val="28"/>
        </w:rPr>
        <w:t>4.8  Code Submission and Execution 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4.7 describes the two execution paths of the system. The practice path begins in the embedded editor, where the learner writes source code in one of the supported languages and triggers the run or submit action with the keyboard or with the toolbar. The client base64-encodes the source, selects the numeric language identifier from a local table, and posts the pair to the compiler route of the server. The route forwards the request to the Judge0 instance exposed through a public application programming interface aggregator, with the synchronised wait option so that the response carries the result of the run.</w:t>
      </w:r>
    </w:p>
    <w:p>
      <w:pPr>
        <w:keepNext/>
        <w:spacing w:before="200" w:after="40"/>
        <w:ind w:firstLine="0"/>
        <w:jc w:val="center"/>
      </w:pPr>
      <w:r>
        <w:drawing>
          <wp:inline xmlns:a="http://schemas.openxmlformats.org/drawingml/2006/main" xmlns:pic="http://schemas.openxmlformats.org/drawingml/2006/picture">
            <wp:extent cx="5577840" cy="4130426"/>
            <wp:docPr id="7" name="Picture 7"/>
            <wp:cNvGraphicFramePr>
              <a:graphicFrameLocks noChangeAspect="1"/>
            </wp:cNvGraphicFramePr>
            <a:graphic>
              <a:graphicData uri="http://schemas.openxmlformats.org/drawingml/2006/picture">
                <pic:pic>
                  <pic:nvPicPr>
                    <pic:cNvPr id="0" name="fig4_6_code_judge_flow.png"/>
                    <pic:cNvPicPr/>
                  </pic:nvPicPr>
                  <pic:blipFill>
                    <a:blip r:embed="rId18"/>
                    <a:stretch>
                      <a:fillRect/>
                    </a:stretch>
                  </pic:blipFill>
                  <pic:spPr>
                    <a:xfrm>
                      <a:off x="0" y="0"/>
                      <a:ext cx="5577840" cy="4130426"/>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4.7: Code submission and Judge0 execution flow for practice and for contests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path is more elaborate. The submission is accepted only when the contest is open and the participant is registered, the source is posted to the configured Judge0 instance, and the server polls for the result at intervals of one second for up to ten attempts. The grading rule awards a fixed number of points according to the difficulty of the problem and adds a penalty of twenty minutes for each previous failed attempt on the same problem. The outcome is stored as a submission document and is broadcast to the contestants of the room.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design contains one inconsistency that the evaluation confirmed: the practice path and the contest path use different Judge0 endpoints, different authentication mechanisms and different waiting strategies, and the practice path additionally hard-codes the host and port of the server rather than deriving it from the configured interface base address. Consequently the run button of the practice workspace cannot succeed in a deployed environment in its present form, as recorded in Chapter 6.</w:t>
      </w:r>
    </w:p>
    <w:p>
      <w:pPr>
        <w:pStyle w:val="SectionHeading"/>
      </w:pPr>
      <w:r>
        <w:rPr>
          <w:rFonts w:ascii="Times New Roman" w:hAnsi="Times New Roman" w:cs="Times New Roman" w:eastAsia="Times New Roman"/>
          <w:b/>
          <w:i w:val="0"/>
          <w:color w:val="000000"/>
          <w:sz w:val="28"/>
        </w:rPr>
        <w:t>4.9  Real-Time Contest Workflow</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module is the only part of the system that uses the WebSocket channel. Figure 4.8 shows the workflow. The client establishes a socket connection, presenting a token in the handshake, and then emits an event that causes it to join the room named for the contest. The server maintains the participant count for the room and broadcasts it. When a submission is judged, the controller notifies the socket layer, which emits an event carrying the contest identifier, the participant, the problem and the status to every member of the room.</w:t>
      </w:r>
    </w:p>
    <w:p>
      <w:pPr>
        <w:keepNext/>
        <w:spacing w:before="200" w:after="40"/>
        <w:ind w:firstLine="0"/>
        <w:jc w:val="center"/>
      </w:pPr>
      <w:r>
        <w:drawing>
          <wp:inline xmlns:a="http://schemas.openxmlformats.org/drawingml/2006/main" xmlns:pic="http://schemas.openxmlformats.org/drawingml/2006/picture">
            <wp:extent cx="5486400" cy="2086172"/>
            <wp:docPr id="8" name="Picture 8"/>
            <wp:cNvGraphicFramePr>
              <a:graphicFrameLocks noChangeAspect="1"/>
            </wp:cNvGraphicFramePr>
            <a:graphic>
              <a:graphicData uri="http://schemas.openxmlformats.org/drawingml/2006/picture">
                <pic:pic>
                  <pic:nvPicPr>
                    <pic:cNvPr id="0" name="fig4_7_realtime_contest.png"/>
                    <pic:cNvPicPr/>
                  </pic:nvPicPr>
                  <pic:blipFill>
                    <a:blip r:embed="rId19"/>
                    <a:stretch>
                      <a:fillRect/>
                    </a:stretch>
                  </pic:blipFill>
                  <pic:spPr>
                    <a:xfrm>
                      <a:off x="0" y="0"/>
                      <a:ext cx="5486400" cy="208617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4.8: Real-time contest workflow over the Socket.IO channel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handshake middleware in the server is intended to bind the socket to an authenticated user by verifying the token presented in the handshake and loading the corresponding user record. The implementation resolves the user from a claim named as the identifier, whereas the tokens issued by the registration, verification, credential and Google paths carry only a claim named as the user identifier. The lookup therefore fails, the middleware catches the failure and admits the connection with a null user rather than rejecting it. The practical consequence is that the room membership and the broadcast mechanism operate correctly, while the identity of the socket is not established; this is reported in Chapter 6 as a defect with a specified correction.</w:t>
      </w:r>
    </w:p>
    <w:p>
      <w:pPr>
        <w:pStyle w:val="SectionHeading"/>
      </w:pPr>
      <w:r>
        <w:rPr>
          <w:rFonts w:ascii="Times New Roman" w:hAnsi="Times New Roman" w:cs="Times New Roman" w:eastAsia="Times New Roman"/>
          <w:b/>
          <w:i w:val="0"/>
          <w:color w:val="000000"/>
          <w:sz w:val="28"/>
        </w:rPr>
        <w:t>4.10  Administration Workflows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a distinct branch of the client route table and renders nine modules: an overview, user management, content management, community moderation, news updates, quiz management, analytics, system logs and system settings, together with a feedback module. The server supports these with four route groups: the administration group for users and system logs, the administration course group for authored course records and the import of course metadata from the video service, the administration quiz group for the authoring of quizzes and questions and the retrieval of submissions, and the analytics group for the aggregate statistics and their export as a delimited text file.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settings module is the most sensitive of the nine, because it controls whether the platform accepts new registrations and whether it is placed in maintenance mode. Its update operation requires the administrator role and, in addition, a secondary secret supplied in a header, which is a form of two-factor authorisation that depends on a shared secret rather than on a second credential. The audit trail is provided by the system log collection, which records the administrator, the action and the timestamp of each recorded operation.</w:t>
      </w:r>
    </w:p>
    <w:p>
      <w:pPr>
        <w:pStyle w:val="SectionHeading"/>
      </w:pPr>
      <w:r>
        <w:rPr>
          <w:rFonts w:ascii="Times New Roman" w:hAnsi="Times New Roman" w:cs="Times New Roman" w:eastAsia="Times New Roman"/>
          <w:b/>
          <w:i w:val="0"/>
          <w:color w:val="000000"/>
          <w:sz w:val="28"/>
        </w:rPr>
        <w:t>4.11  User Interface Design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interface follows the design system described by the client configuration. A utility-first stylesheet with four extended colour scales supplies the visual language; a component library of headless primitives supplies accessible dialog, tab, select, dropdown, label and alert behaviour; and a small utility module merges conditional class names. The application supports a dark theme whose state is held in a global context and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interface decisions are worth recording because they affect the responsiveness of the design. The navigation appears twice, once as a persistent sidebar on wide screens and once as a collapsible menu in the top bar on narrow screens, and the two menus are constructed from the same list of entries, so that a new module appears in both. The code workspace uses a split layout in which the editor, the problem description and the result panel are independently scrollable, which is appropriate for the fixed viewport of a coding contest but is cramped on a small screen. Finally, the client is not code-split: every routed screen is imported statically by the route table, including three components of more than fifty kilobytes each, so that the initial bundle carries the whole application. This is a performance defect, recorded in Chapter 6.</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5</w:t>
      </w:r>
    </w:p>
    <w:p>
      <w:pPr>
        <w:pStyle w:val="ChapterTitle"/>
      </w:pPr>
      <w:r>
        <w:rPr>
          <w:rFonts w:ascii="Times New Roman" w:hAnsi="Times New Roman" w:cs="Times New Roman" w:eastAsia="Times New Roman"/>
          <w:b/>
          <w:i w:val="0"/>
          <w:color w:val="000000"/>
          <w:sz w:val="36"/>
        </w:rPr>
        <w:t>IMPLEMENTATION</w:t>
      </w:r>
    </w:p>
    <w:p>
      <w:pPr>
        <w:pStyle w:val="SectionHeading"/>
      </w:pPr>
      <w:r>
        <w:rPr>
          <w:rFonts w:ascii="Times New Roman" w:hAnsi="Times New Roman" w:cs="Times New Roman" w:eastAsia="Times New Roman"/>
          <w:b/>
          <w:i w:val="0"/>
          <w:color w:val="000000"/>
          <w:sz w:val="28"/>
        </w:rPr>
        <w:t>5.1  Repository Structure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project is a single repository containing the documentation, the client application and the server application. The client occupies the Client directory and the server the Server directory; the two are independent packages with their own manifests, their own lockfiles and their own dependency trees, and neither imports the other. Table 5.1 gives the directory layout of the two applications together with the purpose of each significant directory.</w:t>
      </w:r>
    </w:p>
    <w:p>
      <w:pPr>
        <w:keepNext/>
        <w:spacing w:before="200" w:after="80" w:line="240" w:lineRule="auto"/>
        <w:ind w:firstLine="0"/>
        <w:jc w:val="center"/>
      </w:pPr>
      <w:r>
        <w:rPr>
          <w:rFonts w:ascii="Times New Roman" w:hAnsi="Times New Roman" w:cs="Times New Roman" w:eastAsia="Times New Roman"/>
          <w:b/>
          <w:i w:val="0"/>
          <w:color w:val="000000"/>
          <w:sz w:val="22"/>
        </w:rPr>
        <w:t>Table 5.1: Directory layout of the two applications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2172"/>
        <w:gridCol w:w="3137"/>
        <w:gridCol w:w="3619"/>
      </w:tblGrid>
      <w:tr>
        <w:trPr>
          <w:tblHeader w:val="true"/>
        </w:trPr>
        <w:tc>
          <w:tcPr>
            <w:tcW w:type="dxa" w:w="2172"/>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Path</w:t>
            </w:r>
          </w:p>
        </w:tc>
        <w:tc>
          <w:tcPr>
            <w:tcW w:type="dxa" w:w="313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Contents</w:t>
            </w:r>
          </w:p>
        </w:tc>
        <w:tc>
          <w:tcPr>
            <w:tcW w:type="dxa" w:w="36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Purpose</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Client/src/pages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13 page directories and 2 page files, including Landing, Dashboard, Coding, Notes, Interview, Placements, Roadmap, Assessments, AiModel</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The routed screens of the application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Client/src/components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23 sub-directories and about 115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Feature components: Dashboard, Layout, Auth, Quiz, ResumeBuilder, CoverLetter, Community, TechFeed, LearningHub, Admin, Chatbot, Payment, calendar, Calculator, ProjectRecommender, Profile, Settings, tasks, ui primitives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Client/src/contexts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6 context providers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Session, global application state, administration state, socket connection, notification queue and calculator history</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Client/src/api, src/services, src/features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API modules, 4 service modules and one query slice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HTTP access layers: shared Axios instance, administration, assessment, dashboard, video progress, analytics and courses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Client/src/utils, src/lib, src/config, src/data, src/types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11 utilities, one class utility, one route configuration, seed data and type declarations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semantic search, résumé templates, the interface base address and shared types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Client/public, Client/src/assets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Favicon, an animated globe graphic, a logo, twelve course and notes data files, two roadmap data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Static assets and the bundled static content</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Server/controller</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24 controller files, about 6,800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Business logic for authentication, contests, assessments, notes, dashboard, courses, quizzes, community, the scanner and the support modules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Server/routes</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30 route files, about 3,400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Endpoint declaration, middleware chains and mount paths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Server/model</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32 schema files, about 1,400 lines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Persistence declarations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Server/middleware</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4 files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Identity, authorisation, sanitisation and validation helpers</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Server/utils, Server/config</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10 utility modules and one database module</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Provider clients, mail templates, keyword sets, the rating calculator, the rate limiter and the database connection</w:t>
            </w:r>
          </w:p>
        </w:tc>
      </w:tr>
      <w:tr>
        <w:tc>
          <w:tcPr>
            <w:tcW w:type="dxa" w:w="2172"/>
          </w:tcPr>
          <w:p>
            <w:pPr>
              <w:spacing w:after="40" w:before="40" w:line="252" w:lineRule="auto"/>
              <w:ind w:firstLine="0"/>
              <w:jc w:val="center"/>
            </w:pPr>
            <w:r/>
            <w:r>
              <w:rPr>
                <w:rFonts w:ascii="Times New Roman" w:hAnsi="Times New Roman" w:cs="Times New Roman" w:eastAsia="Times New Roman"/>
                <w:b w:val="0"/>
                <w:i w:val="0"/>
                <w:color w:val="000000"/>
                <w:sz w:val="20"/>
              </w:rPr>
              <w:t>Server root</w:t>
            </w:r>
          </w:p>
        </w:tc>
        <w:tc>
          <w:tcPr>
            <w:tcW w:type="dxa" w:w="3137"/>
          </w:tcPr>
          <w:p>
            <w:pPr>
              <w:spacing w:after="40" w:before="40" w:line="252" w:lineRule="auto"/>
              <w:ind w:firstLine="0"/>
              <w:jc w:val="left"/>
            </w:pPr>
            <w:r/>
            <w:r>
              <w:rPr>
                <w:rFonts w:ascii="Times New Roman" w:hAnsi="Times New Roman" w:cs="Times New Roman" w:eastAsia="Times New Roman"/>
                <w:b w:val="0"/>
                <w:i w:val="0"/>
                <w:color w:val="000000"/>
                <w:sz w:val="20"/>
              </w:rPr>
              <w:t>index.js, socket.js, pdfServer.js and three utility scripts</w:t>
            </w:r>
          </w:p>
        </w:tc>
        <w:tc>
          <w:tcPr>
            <w:tcW w:type="dxa" w:w="3619"/>
          </w:tcPr>
          <w:p>
            <w:pPr>
              <w:spacing w:after="40" w:before="40" w:line="252" w:lineRule="auto"/>
              <w:ind w:firstLine="0"/>
              <w:jc w:val="left"/>
            </w:pPr>
            <w:r/>
            <w:r>
              <w:rPr>
                <w:rFonts w:ascii="Times New Roman" w:hAnsi="Times New Roman" w:cs="Times New Roman" w:eastAsia="Times New Roman"/>
                <w:b w:val="0"/>
                <w:i w:val="0"/>
                <w:color w:val="000000"/>
                <w:sz w:val="20"/>
              </w:rPr>
              <w:t>Application entry point, socket initialisation, a separate document-generation service and one-off maintenance scripts</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Two structural observations are relevant to the maintenance of the project. The notes module implements its handlers directly in the route file, which is 662 lines long, while a controller of 625 lines that exports the same eleven operations exists and is imported only for its file-upload middleware; the two implementations have diverged, and the divergence is the cause of the defect described in Section 6.4. The server also contains three schema files that are never imported and one empty file that declares no schema; these are harmless but misleading to a reader who navigates the model directory.</w:t>
      </w:r>
    </w:p>
    <w:p>
      <w:pPr>
        <w:pStyle w:val="SectionHeading"/>
      </w:pPr>
      <w:r>
        <w:rPr>
          <w:rFonts w:ascii="Times New Roman" w:hAnsi="Times New Roman" w:cs="Times New Roman" w:eastAsia="Times New Roman"/>
          <w:b/>
          <w:i w:val="0"/>
          <w:color w:val="000000"/>
          <w:sz w:val="28"/>
        </w:rPr>
        <w:t>5.2  Client Routing and Application Providers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router is declared in the application root file, which imports every routed screen statically and assembles them into four branches. The first branch contains the public pages: the landing page, the privacy, cookie and terms policies, the disclaimer, the creator page, the interface documentation, the project documentation and the contributor guide. The second branch contains the three authentication pages, each of which is explicitly marked as not requiring a session. The third branch is the administration console, which is wrapped in both a session guard and an administration guard. The fourth branch is a catch-all that mounts the application shell and declares the twenty-eight learner routes beneath it, with an unmatched path redirected to the dashboard.</w:t>
      </w:r>
    </w:p>
    <w:p>
      <w:pPr>
        <w:keepNext w:val="0"/>
        <w:spacing w:before="0" w:after="0" w:line="324" w:lineRule="auto"/>
        <w:ind w:firstLine="720"/>
        <w:jc w:val="both"/>
      </w:pPr>
      <w:r>
        <w:rPr>
          <w:rFonts w:ascii="Times New Roman" w:hAnsi="Times New Roman" w:cs="Times New Roman" w:eastAsia="Times New Roman"/>
          <w:b w:val="0"/>
          <w:i w:val="0"/>
          <w:color w:val="000000"/>
          <w:sz w:val="24"/>
        </w:rPr>
        <w:t>Four providers wrap the router. The global provider holds the application-wide state, including the theme and the user summary, and persists it in the browser under a single key. The session provider implements registration, verification, credential login, Google login, the forgotten-password flow and logout, and persists the session under a second key. The socket provider establishes the real-time connection. The notification provider maintains the queue of user-visible alerts. A splash screen is shown until the window load event has fired, with a timeout as a fallback, which prevents the layout from flickering during the initial load.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route guard is a small component that accepts two properties. The first declares whether a session is required and the second whether the administration role is required; the component consults the session context, redirects an unauthenticated visitor to the sign-in page, and renders the administration branch only for a caller whose role matches. The guard is therefore the client-side expression of the permission model of Table 3.1, and the server-side expression of the same model is the identity and authorisation middleware.</w:t>
      </w:r>
    </w:p>
    <w:p>
      <w:pPr>
        <w:pStyle w:val="SectionHeading"/>
      </w:pPr>
      <w:r>
        <w:rPr>
          <w:rFonts w:ascii="Times New Roman" w:hAnsi="Times New Roman" w:cs="Times New Roman" w:eastAsia="Times New Roman"/>
          <w:b/>
          <w:i w:val="0"/>
          <w:color w:val="000000"/>
          <w:sz w:val="28"/>
        </w:rPr>
        <w:t>5.3  Navigation Shell and Public Interface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navigation shell presents the same nineteen entries in the sidebar and in the mobile menu, in the order Dashboard, Learning Hub, Video, Quiz Center, Skill Assessment, Coding, Interview, Study Buddy, Tech Feed, Community, Resume Builder, Cover Letter, Placement Prep, AI Projects, AI Models, Road Map, Notes, Calendar and Contributors. Each entry carries an icon and a route, and the shell renders the routed screen inside a main region with a footer and a back-to-top control.</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5.1 shows the sign-in screen of the deployed application. The screen presents the credential form, a forgotten-password link, a Google sign-in button and a registration link, and it also renders a block of demonstration administrator credentials in plain text, which is a security weakness discussed in Section 6.5. The screen was captured from the deployed host with a headless browser; no credential was entered in order to obtain it.</w:t>
      </w:r>
    </w:p>
    <w:p>
      <w:pPr>
        <w:keepNext/>
        <w:spacing w:before="200" w:after="40"/>
        <w:ind w:firstLine="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live_login.png"/>
                    <pic:cNvPicPr/>
                  </pic:nvPicPr>
                  <pic:blipFill>
                    <a:blip r:embed="rId20"/>
                    <a:stretch>
                      <a:fillRect/>
                    </a:stretch>
                  </pic:blipFill>
                  <pic:spPr>
                    <a:xfrm>
                      <a:off x="0" y="0"/>
                      <a:ext cx="5120640" cy="3200400"/>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5.1: Sign-in screen of the deployed Elevora AI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5.2 shows the public landing page of the same deployment. The page composes a hero section, a statistics band, a feature grid that describes the principal modules, a technology section, testimonials, a frequently asked questions section and a call to action, with an animated three-dimensional cube and a cookie-consent banner. The statistics displayed on this page, which advertise a learner population of more than fifty thousand, are marketing statements carried in the component source; they are not derived from any collection and are not verified by this report.</w:t>
      </w:r>
    </w:p>
    <w:p>
      <w:pPr>
        <w:keepNext/>
        <w:spacing w:before="200" w:after="40"/>
        <w:ind w:firstLine="0"/>
        <w:jc w:val="center"/>
      </w:pPr>
      <w:r>
        <w:drawing>
          <wp:inline xmlns:a="http://schemas.openxmlformats.org/drawingml/2006/main" xmlns:pic="http://schemas.openxmlformats.org/drawingml/2006/picture">
            <wp:extent cx="5394960" cy="6981713"/>
            <wp:docPr id="10" name="Picture 10"/>
            <wp:cNvGraphicFramePr>
              <a:graphicFrameLocks noChangeAspect="1"/>
            </wp:cNvGraphicFramePr>
            <a:graphic>
              <a:graphicData uri="http://schemas.openxmlformats.org/drawingml/2006/picture">
                <pic:pic>
                  <pic:nvPicPr>
                    <pic:cNvPr id="0" name="fig5_2_landing.png"/>
                    <pic:cNvPicPr/>
                  </pic:nvPicPr>
                  <pic:blipFill>
                    <a:blip r:embed="rId21"/>
                    <a:stretch>
                      <a:fillRect/>
                    </a:stretch>
                  </pic:blipFill>
                  <pic:spPr>
                    <a:xfrm>
                      <a:off x="0" y="0"/>
                      <a:ext cx="5394960" cy="6981713"/>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5.2: Public landing page of the deployed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 5.3 shows the interface documentation page published by the application. The page lists the endpoint groups of the server with their methods and descriptions, and is generated from a static table in a component rather than from the route table of the server. It is nevertheless a faithful summary of the implemented interface, and it is included here as evidence of the documented public surface.</w:t>
      </w:r>
    </w:p>
    <w:p>
      <w:pPr>
        <w:keepNext/>
        <w:spacing w:before="200" w:after="40"/>
        <w:ind w:firstLine="0"/>
        <w:jc w:val="center"/>
      </w:pPr>
      <w:r>
        <w:drawing>
          <wp:inline xmlns:a="http://schemas.openxmlformats.org/drawingml/2006/main" xmlns:pic="http://schemas.openxmlformats.org/drawingml/2006/picture">
            <wp:extent cx="5212080" cy="6745045"/>
            <wp:docPr id="11" name="Picture 11"/>
            <wp:cNvGraphicFramePr>
              <a:graphicFrameLocks noChangeAspect="1"/>
            </wp:cNvGraphicFramePr>
            <a:graphic>
              <a:graphicData uri="http://schemas.openxmlformats.org/drawingml/2006/picture">
                <pic:pic>
                  <pic:nvPicPr>
                    <pic:cNvPr id="0" name="fig5_3_api_docs.png"/>
                    <pic:cNvPicPr/>
                  </pic:nvPicPr>
                  <pic:blipFill>
                    <a:blip r:embed="rId22"/>
                    <a:stretch>
                      <a:fillRect/>
                    </a:stretch>
                  </pic:blipFill>
                  <pic:spPr>
                    <a:xfrm>
                      <a:off x="0" y="0"/>
                      <a:ext cx="5212080" cy="6745045"/>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5.3: Interface documentation page published by the application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further public pages are shown in Figures 5.4 and 5.5. The project documentation page summarises the architecture, the technology stack and the contribution process for prospective contributors, and the contributor guide page explains the difficulty labels used on the issue tracker and the procedure for a first contribution. Both are part of the open-source development model described in Section 2.8.</w:t>
      </w:r>
    </w:p>
    <w:p>
      <w:pPr>
        <w:keepNext/>
        <w:spacing w:before="200" w:after="40"/>
        <w:ind w:firstLine="0"/>
        <w:jc w:val="center"/>
      </w:pPr>
      <w:r>
        <w:drawing>
          <wp:inline xmlns:a="http://schemas.openxmlformats.org/drawingml/2006/main" xmlns:pic="http://schemas.openxmlformats.org/drawingml/2006/picture">
            <wp:extent cx="5120640" cy="6626711"/>
            <wp:docPr id="12" name="Picture 12"/>
            <wp:cNvGraphicFramePr>
              <a:graphicFrameLocks noChangeAspect="1"/>
            </wp:cNvGraphicFramePr>
            <a:graphic>
              <a:graphicData uri="http://schemas.openxmlformats.org/drawingml/2006/picture">
                <pic:pic>
                  <pic:nvPicPr>
                    <pic:cNvPr id="0" name="fig5_4_documentation.png"/>
                    <pic:cNvPicPr/>
                  </pic:nvPicPr>
                  <pic:blipFill>
                    <a:blip r:embed="rId23"/>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5.4: Project documentation page of the deployed application</w:t>
      </w:r>
    </w:p>
    <w:p>
      <w:pPr>
        <w:keepNext/>
        <w:spacing w:before="200" w:after="40"/>
        <w:ind w:firstLine="0"/>
        <w:jc w:val="center"/>
      </w:pPr>
      <w:r>
        <w:drawing>
          <wp:inline xmlns:a="http://schemas.openxmlformats.org/drawingml/2006/main" xmlns:pic="http://schemas.openxmlformats.org/drawingml/2006/picture">
            <wp:extent cx="5120640" cy="6626711"/>
            <wp:docPr id="13" name="Picture 13"/>
            <wp:cNvGraphicFramePr>
              <a:graphicFrameLocks noChangeAspect="1"/>
            </wp:cNvGraphicFramePr>
            <a:graphic>
              <a:graphicData uri="http://schemas.openxmlformats.org/drawingml/2006/picture">
                <pic:pic>
                  <pic:nvPicPr>
                    <pic:cNvPr id="0" name="fig5_5_contributor_guide.png"/>
                    <pic:cNvPicPr/>
                  </pic:nvPicPr>
                  <pic:blipFill>
                    <a:blip r:embed="rId24"/>
                    <a:stretch>
                      <a:fillRect/>
                    </a:stretch>
                  </pic:blipFill>
                  <pic:spPr>
                    <a:xfrm>
                      <a:off x="0" y="0"/>
                      <a:ext cx="5120640" cy="6626711"/>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5.5: Contributor guide page of the deployed application</w:t>
      </w:r>
    </w:p>
    <w:p>
      <w:pPr>
        <w:pStyle w:val="SectionHeading"/>
      </w:pPr>
      <w:r>
        <w:rPr>
          <w:rFonts w:ascii="Times New Roman" w:hAnsi="Times New Roman" w:cs="Times New Roman" w:eastAsia="Times New Roman"/>
          <w:b/>
          <w:i w:val="0"/>
          <w:color w:val="000000"/>
          <w:sz w:val="28"/>
        </w:rPr>
        <w:t>5.4  Server Entry Point and Middleware Pipeline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entry point establishes the connection to the database before the listener is opened, and refuses to start if the connection fails. It then installs the middleware pipeline in a fixed order: cross-origin resource sharing with the configured client origin and with credentials permitted, the body parser, the cookie parser, and the sanitising middleware. The route modules are then mounted at thirty-one distinct prefixes, which include the learner, administration, assessment, learning, compiler, placement, contest, notes, notification and support groups. A static path serves the note attachments, a global error handler converts an uncaught exception into a JSON response, and a catch-all returns a JSON document for an unmatched path.</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implementation details in the entry point deserve mention. The listener is replaced by a wrapper that creates a Node HTTP server around the application, which is the mechanism by which the socket server attaches to the same port. The route table also contains two duplicated mounts: the assessment routes are mounted at two prefixes and the conversational routes at one prefix twice, which means that only the first of each pair is reachable. The duplication is harmless in itself, but it inflates the documented interface and suggests that the intended set of prefixes is wider than the effective one.</w:t>
      </w:r>
    </w:p>
    <w:p>
      <w:pPr>
        <w:pStyle w:val="SectionHeading"/>
      </w:pPr>
      <w:r>
        <w:rPr>
          <w:rFonts w:ascii="Times New Roman" w:hAnsi="Times New Roman" w:cs="Times New Roman" w:eastAsia="Times New Roman"/>
          <w:b/>
          <w:i w:val="0"/>
          <w:color w:val="000000"/>
          <w:sz w:val="28"/>
        </w:rPr>
        <w:t>5.5  Interface Surface</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5.2 groups the endpoints of the server by functional area and states the authentication requirement of each group as declared in the route files. The table is the implementation-level counterpart of the requirement table of Chapter 3.</w:t>
      </w:r>
    </w:p>
    <w:p>
      <w:pPr>
        <w:keepNext/>
        <w:spacing w:before="200" w:after="80" w:line="240" w:lineRule="auto"/>
        <w:ind w:firstLine="0"/>
        <w:jc w:val="center"/>
      </w:pPr>
      <w:r>
        <w:rPr>
          <w:rFonts w:ascii="Times New Roman" w:hAnsi="Times New Roman" w:cs="Times New Roman" w:eastAsia="Times New Roman"/>
          <w:b/>
          <w:i w:val="0"/>
          <w:color w:val="000000"/>
          <w:sz w:val="22"/>
        </w:rPr>
        <w:t>Table 5.2: Endpoint groups by functional area and declared protection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594"/>
        <w:gridCol w:w="2019"/>
        <w:gridCol w:w="2763"/>
        <w:gridCol w:w="2551"/>
      </w:tblGrid>
      <w:tr>
        <w:trPr>
          <w:tblHeader w:val="true"/>
        </w:trPr>
        <w:tc>
          <w:tcPr>
            <w:tcW w:type="dxa" w:w="1594"/>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Group</w:t>
            </w:r>
          </w:p>
        </w:tc>
        <w:tc>
          <w:tcPr>
            <w:tcW w:type="dxa" w:w="201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Prefix</w:t>
            </w:r>
          </w:p>
        </w:tc>
        <w:tc>
          <w:tcPr>
            <w:tcW w:type="dxa" w:w="276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Protection declared in the route file</w:t>
            </w:r>
          </w:p>
        </w:tc>
        <w:tc>
          <w:tcPr>
            <w:tcW w:type="dxa" w:w="255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Notes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Authentication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/api/v1/auth and /api/v1</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signup, verification, login, Google exchange, forgotten and reset password; authenticated for logout and profile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Issues the token and the session cookie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for users, logs and settings; the system-log creation route requires authentication only</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system-log route is accessible to any signed-in user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feedback</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/api/v1/admin/feedback</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 review-status and delete operations are reachable anonymously</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 applied to the whole router</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Quiz and question authoring, submission listing</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Administration analytics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/api/v1/admin/analytics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and administrator role</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counts and a delimited-text export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Learner quiz</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/api/v1/user-quiz</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Attempting and history of attempts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Assessment</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/api/v1/assessment and /api/v1/assessments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Generation, submission, history and latest summary; the second prefix is unreachable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Dashboard</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/api/v1/dashboard</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Aggregate summary of the learner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Learning tracks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/api/v1/learning/java, aiml, mern, dsa</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Modules, notes, reviews and progress; the catalogue is declared in the route files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Video</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/api/v1/video</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Progress, continuation, course progress and bookmarks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Courses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/api/v1/courses and /api/v1/admin-courses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Administrator role declared for the write operations; the role check is applied without the identity check</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The write operations are therefore always denied</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Community</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/api/v1/community</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Questions, answers, resolution marking and answer acceptance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Notes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/api/notes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browsing, searching and topic retrieval; authenticated for the personal operations</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Handlers implemented in the route file</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Notifications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/api/v1/notifications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Listing, read marking, deletion</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Contests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/api/v1/contests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Authenticated except for the contest listing</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Registration, submission, leaderboard, rating and results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Compiler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/api/v1/compiler</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Forwards to the Judge0 aggregator</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Conversational and generative</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/api/v1/ai</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 for the conversational route; authenticated for quiz and note generation</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Three routes, two of which are reachable because of the duplicate mount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Scanner</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/api/v1/ats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Deterministic keyword analysis</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Placements</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/api/v1/placements</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None declared</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Returns a constant object</w:t>
            </w:r>
          </w:p>
        </w:tc>
      </w:tr>
      <w:tr>
        <w:tc>
          <w:tcPr>
            <w:tcW w:type="dxa" w:w="1594"/>
          </w:tcPr>
          <w:p>
            <w:pPr>
              <w:spacing w:after="40" w:before="40" w:line="252" w:lineRule="auto"/>
              <w:ind w:firstLine="0"/>
              <w:jc w:val="center"/>
            </w:pPr>
            <w:r/>
            <w:r>
              <w:rPr>
                <w:rFonts w:ascii="Times New Roman" w:hAnsi="Times New Roman" w:cs="Times New Roman" w:eastAsia="Times New Roman"/>
                <w:b w:val="0"/>
                <w:i w:val="0"/>
                <w:color w:val="000000"/>
                <w:sz w:val="20"/>
              </w:rPr>
              <w:t>Support, questions, news, subscription</w:t>
            </w:r>
          </w:p>
        </w:tc>
        <w:tc>
          <w:tcPr>
            <w:tcW w:type="dxa" w:w="2019"/>
          </w:tcPr>
          <w:p>
            <w:pPr>
              <w:spacing w:after="40" w:before="40" w:line="252" w:lineRule="auto"/>
              <w:ind w:firstLine="0"/>
              <w:jc w:val="left"/>
            </w:pPr>
            <w:r/>
            <w:r>
              <w:rPr>
                <w:rFonts w:ascii="Times New Roman" w:hAnsi="Times New Roman" w:cs="Times New Roman" w:eastAsia="Times New Roman"/>
                <w:b w:val="0"/>
                <w:i w:val="0"/>
                <w:color w:val="000000"/>
                <w:sz w:val="20"/>
              </w:rPr>
              <w:t>/api/v1 and /api/subscribe</w:t>
            </w:r>
          </w:p>
        </w:tc>
        <w:tc>
          <w:tcPr>
            <w:tcW w:type="dxa" w:w="2763"/>
          </w:tcPr>
          <w:p>
            <w:pPr>
              <w:spacing w:after="40" w:before="40" w:line="252" w:lineRule="auto"/>
              <w:ind w:firstLine="0"/>
              <w:jc w:val="left"/>
            </w:pPr>
            <w:r/>
            <w:r>
              <w:rPr>
                <w:rFonts w:ascii="Times New Roman" w:hAnsi="Times New Roman" w:cs="Times New Roman" w:eastAsia="Times New Roman"/>
                <w:b w:val="0"/>
                <w:i w:val="0"/>
                <w:color w:val="000000"/>
                <w:sz w:val="20"/>
              </w:rPr>
              <w:t>Public</w:t>
            </w:r>
          </w:p>
        </w:tc>
        <w:tc>
          <w:tcPr>
            <w:tcW w:type="dxa" w:w="2551"/>
          </w:tcPr>
          <w:p>
            <w:pPr>
              <w:spacing w:after="40" w:before="40" w:line="252" w:lineRule="auto"/>
              <w:ind w:firstLine="0"/>
              <w:jc w:val="left"/>
            </w:pPr>
            <w:r/>
            <w:r>
              <w:rPr>
                <w:rFonts w:ascii="Times New Roman" w:hAnsi="Times New Roman" w:cs="Times New Roman" w:eastAsia="Times New Roman"/>
                <w:b w:val="0"/>
                <w:i w:val="0"/>
                <w:color w:val="000000"/>
                <w:sz w:val="20"/>
              </w:rPr>
              <w:t>Support tickets, frequently asked questions, the news feed and the newsletter</w:t>
            </w:r>
          </w:p>
        </w:tc>
      </w:tr>
    </w:tbl>
    <w:p>
      <w:pPr>
        <w:spacing w:after="80"/>
      </w:pPr>
    </w:p>
    <w:p>
      <w:pPr>
        <w:pStyle w:val="SectionHeading"/>
      </w:pPr>
      <w:r>
        <w:rPr>
          <w:rFonts w:ascii="Times New Roman" w:hAnsi="Times New Roman" w:cs="Times New Roman" w:eastAsia="Times New Roman"/>
          <w:b/>
          <w:i w:val="0"/>
          <w:color w:val="000000"/>
          <w:sz w:val="28"/>
        </w:rPr>
        <w:t>5.6  Authentication and Session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Registration creates a one-time-password record keyed by the e-mail address and sends the code through the mail utility, which composes an HTML message. Verification compares the submitted code with the stored record, checks that it has not expired, creates the user document with a hashed password, and issues the session token. The credential path compares the submitted password with the stored hash and issues the same token. The Google path exchanges the identity token obtained by the client library for a session token, creating the account on first use.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token is delivered in a cookie that is declared HTTP-only, secure and of same-site type none, with a lifetime of three days. The token payload contains the user identifier and the role. The identity middleware accepts the token from the cookie or from the authorization header,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export const authenticateToken = async (req, res, next) =&gt; {</w:t>
            </w:r>
          </w:p>
          <w:p>
            <w:pPr>
              <w:spacing w:after="0" w:line="240" w:lineRule="auto"/>
              <w:ind w:firstLine="0"/>
              <w:jc w:val="left"/>
            </w:pPr>
            <w:r>
              <w:rPr>
                <w:rFonts w:ascii="Consolas" w:hAnsi="Consolas" w:cs="Consolas" w:eastAsia="Consolas"/>
                <w:b w:val="0"/>
                <w:i w:val="0"/>
                <w:color w:val="000000"/>
                <w:sz w:val="18"/>
              </w:rPr>
              <w:t xml:space="preserve">  try {</w:t>
            </w:r>
          </w:p>
          <w:p>
            <w:pPr>
              <w:spacing w:after="0" w:line="240" w:lineRule="auto"/>
              <w:ind w:firstLine="0"/>
              <w:jc w:val="left"/>
            </w:pPr>
            <w:r>
              <w:rPr>
                <w:rFonts w:ascii="Consolas" w:hAnsi="Consolas" w:cs="Consolas" w:eastAsia="Consolas"/>
                <w:b w:val="0"/>
                <w:i w:val="0"/>
                <w:color w:val="000000"/>
                <w:sz w:val="18"/>
              </w:rPr>
              <w:t xml:space="preserve">    const cookieToken = req.cookies?.token;</w:t>
            </w:r>
          </w:p>
          <w:p>
            <w:pPr>
              <w:spacing w:after="0" w:line="240" w:lineRule="auto"/>
              <w:ind w:firstLine="0"/>
              <w:jc w:val="left"/>
            </w:pPr>
            <w:r>
              <w:rPr>
                <w:rFonts w:ascii="Consolas" w:hAnsi="Consolas" w:cs="Consolas" w:eastAsia="Consolas"/>
                <w:b w:val="0"/>
                <w:i w:val="0"/>
                <w:color w:val="000000"/>
                <w:sz w:val="18"/>
              </w:rPr>
              <w:t xml:space="preserve">    const headerToken = req.headers.authorization?.split(" ")[1];</w:t>
            </w:r>
          </w:p>
          <w:p>
            <w:pPr>
              <w:spacing w:after="0" w:line="240" w:lineRule="auto"/>
              <w:ind w:firstLine="0"/>
              <w:jc w:val="left"/>
            </w:pPr>
            <w:r>
              <w:rPr>
                <w:rFonts w:ascii="Consolas" w:hAnsi="Consolas" w:cs="Consolas" w:eastAsia="Consolas"/>
                <w:b w:val="0"/>
                <w:i w:val="0"/>
                <w:color w:val="000000"/>
                <w:sz w:val="18"/>
              </w:rPr>
              <w:t xml:space="preserve">    const token = cookieToken || headerToken;</w:t>
            </w:r>
          </w:p>
          <w:p>
            <w:pPr>
              <w:spacing w:after="0" w:line="240" w:lineRule="auto"/>
              <w:ind w:firstLine="0"/>
              <w:jc w:val="left"/>
            </w:pPr>
            <w:r>
              <w:rPr>
                <w:rFonts w:ascii="Consolas" w:hAnsi="Consolas" w:cs="Consolas" w:eastAsia="Consolas"/>
                <w:b w:val="0"/>
                <w:i w:val="0"/>
                <w:color w:val="000000"/>
                <w:sz w:val="18"/>
              </w:rPr>
              <w:t xml:space="preserve">    if (!token) {</w:t>
            </w:r>
          </w:p>
          <w:p>
            <w:pPr>
              <w:spacing w:after="0" w:line="240" w:lineRule="auto"/>
              <w:ind w:firstLine="0"/>
              <w:jc w:val="left"/>
            </w:pPr>
            <w:r>
              <w:rPr>
                <w:rFonts w:ascii="Consolas" w:hAnsi="Consolas" w:cs="Consolas" w:eastAsia="Consolas"/>
                <w:b w:val="0"/>
                <w:i w:val="0"/>
                <w:color w:val="000000"/>
                <w:sz w:val="18"/>
              </w:rPr>
              <w:t xml:space="preserve">      return res.status(401).json({ success: false,</w:t>
            </w:r>
          </w:p>
          <w:p>
            <w:pPr>
              <w:spacing w:after="0" w:line="240" w:lineRule="auto"/>
              <w:ind w:firstLine="0"/>
              <w:jc w:val="left"/>
            </w:pPr>
            <w:r>
              <w:rPr>
                <w:rFonts w:ascii="Consolas" w:hAnsi="Consolas" w:cs="Consolas" w:eastAsia="Consolas"/>
                <w:b w:val="0"/>
                <w:i w:val="0"/>
                <w:color w:val="000000"/>
                <w:sz w:val="18"/>
              </w:rPr>
              <w:t xml:space="preserve">        message: "Authentication required - No token provided"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const decoded = jwt.verify(token, process.env.JWT_SECRET);</w:t>
            </w:r>
          </w:p>
          <w:p>
            <w:pPr>
              <w:spacing w:after="0" w:line="240" w:lineRule="auto"/>
              <w:ind w:firstLine="0"/>
              <w:jc w:val="left"/>
            </w:pPr>
            <w:r>
              <w:rPr>
                <w:rFonts w:ascii="Consolas" w:hAnsi="Consolas" w:cs="Consolas" w:eastAsia="Consolas"/>
                <w:b w:val="0"/>
                <w:i w:val="0"/>
                <w:color w:val="000000"/>
                <w:sz w:val="18"/>
              </w:rPr>
              <w:t xml:space="preserve">    const userId = decoded.userId || decoded.id || decoded._id;</w:t>
            </w:r>
          </w:p>
          <w:p>
            <w:pPr>
              <w:spacing w:after="0" w:line="240" w:lineRule="auto"/>
              <w:ind w:firstLine="0"/>
              <w:jc w:val="left"/>
            </w:pPr>
            <w:r>
              <w:rPr>
                <w:rFonts w:ascii="Consolas" w:hAnsi="Consolas" w:cs="Consolas" w:eastAsia="Consolas"/>
                <w:b w:val="0"/>
                <w:i w:val="0"/>
                <w:color w:val="000000"/>
                <w:sz w:val="18"/>
              </w:rPr>
              <w:t xml:space="preserve">    const user = await User.findById(userId).select("-password").lean();</w:t>
            </w:r>
          </w:p>
          <w:p>
            <w:pPr>
              <w:spacing w:after="0" w:line="240" w:lineRule="auto"/>
              <w:ind w:firstLine="0"/>
              <w:jc w:val="left"/>
            </w:pPr>
            <w:r>
              <w:rPr>
                <w:rFonts w:ascii="Consolas" w:hAnsi="Consolas" w:cs="Consolas" w:eastAsia="Consolas"/>
                <w:b w:val="0"/>
                <w:i w:val="0"/>
                <w:color w:val="000000"/>
                <w:sz w:val="18"/>
              </w:rPr>
              <w:t xml:space="preserve">    req.user = { ...user, _id: user._id, id: user._id.toString() };</w:t>
            </w:r>
          </w:p>
          <w:p>
            <w:pPr>
              <w:spacing w:after="0" w:line="240" w:lineRule="auto"/>
              <w:ind w:firstLine="0"/>
              <w:jc w:val="left"/>
            </w:pPr>
            <w:r>
              <w:rPr>
                <w:rFonts w:ascii="Consolas" w:hAnsi="Consolas" w:cs="Consolas" w:eastAsia="Consolas"/>
                <w:b w:val="0"/>
                <w:i w:val="0"/>
                <w:color w:val="000000"/>
                <w:sz w:val="18"/>
              </w:rPr>
              <w:t xml:space="preserve">    next();</w:t>
            </w:r>
          </w:p>
          <w:p>
            <w:pPr>
              <w:spacing w:after="0" w:line="240" w:lineRule="auto"/>
              <w:ind w:firstLine="0"/>
              <w:jc w:val="left"/>
            </w:pPr>
            <w:r>
              <w:rPr>
                <w:rFonts w:ascii="Consolas" w:hAnsi="Consolas" w:cs="Consolas" w:eastAsia="Consolas"/>
                <w:b w:val="0"/>
                <w:i w:val="0"/>
                <w:color w:val="000000"/>
                <w:sz w:val="18"/>
              </w:rPr>
              <w:t xml:space="preserve">  } catch (error) { /* 401 or 500 according to the error class */ }</w:t>
            </w:r>
          </w:p>
          <w:p>
            <w:pPr>
              <w:spacing w:after="0" w:line="240" w:lineRule="auto"/>
              <w:ind w:firstLine="0"/>
              <w:jc w:val="left"/>
            </w:pPr>
            <w:r>
              <w:rPr>
                <w:rFonts w:ascii="Consolas" w:hAnsi="Consolas" w:cs="Consolas" w:eastAsia="Consolas"/>
                <w:b w:val="0"/>
                <w:i w:val="0"/>
                <w:color w:val="000000"/>
                <w:sz w:val="18"/>
              </w:rPr>
              <w: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Server/middleware/authMiddleware.js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password-reset flow follows the same pattern with a different token record and a different message template, and the reset link carries the token in the path. The password-change operation is throttled by a dedicated rate limiter that permits a small number of attempts in a short window. One implementation note is recorded as a defect: the cookie declares the secure attribute unconditionally, so that the session cannot be established over plain HTTP, which affects local development but not a deployment served over TLS.</w:t>
      </w:r>
    </w:p>
    <w:p>
      <w:pPr>
        <w:pStyle w:val="SectionHeading"/>
      </w:pPr>
      <w:r>
        <w:rPr>
          <w:rFonts w:ascii="Times New Roman" w:hAnsi="Times New Roman" w:cs="Times New Roman" w:eastAsia="Times New Roman"/>
          <w:b/>
          <w:i w:val="0"/>
          <w:color w:val="000000"/>
          <w:sz w:val="28"/>
        </w:rPr>
        <w:t>5.7  Role-Based Access Control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Authorisation is expressed by two middleware functions. The first compares the role in the request identity with the roles permitted by the route and answers with 403 when the comparison fails. The second is a variant that accepts a list of roles. The administration branch of the client router adds the same condition on the client side, so that an administrator link is not displayed to a learner and a direct navigation to an administration path is redirected.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implementation was checked route by route against the declared protection, and the result is summarised in Table 5.2. Three findings are material. The course write routes apply the role check without the identity check, and since the role check reads the role from the identity that the identity check populates, those routes always answer 403 and the course authoring feature is inoperative. The administration feedback routes declare no protection at all. The system-log creation route requires an identity but not the administrator role. These are recorded as the access-control test cases TC-08 to TC-10 of Chapter 6.</w:t>
      </w:r>
    </w:p>
    <w:p>
      <w:pPr>
        <w:pStyle w:val="SectionHeading"/>
      </w:pPr>
      <w:r>
        <w:rPr>
          <w:rFonts w:ascii="Times New Roman" w:hAnsi="Times New Roman" w:cs="Times New Roman" w:eastAsia="Times New Roman"/>
          <w:b/>
          <w:i w:val="0"/>
          <w:color w:val="000000"/>
          <w:sz w:val="28"/>
        </w:rPr>
        <w:t>5.8  Dashboard Module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dashboard is the first screen of the application shell and is composed of eleven components: a statistics row carrying the total points, the current streak, the completed goals and the learning progress; a progress widget; a learning-insights panel; a project-recommendation panel; a quick-action panel; a news panel; a skill-assessment summary, which is displayed beneath the heading of the personalised roadmap snapshot; an achievements panel; a recent-attempts panel; a daily-goals panel; and a streak calendar.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server side of the dashboard is implemented in a dedicated controller of about 485 lines that aggregates the user document, the quiz attempts, the skill assessments and the visit counter, and that optionally asks the OpenAI service for project suggestions, falling back to three built-in suggestions when no credential is configured. The client side of the dashboard, however, initialises a demonstration user when the global state contains no user,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useEffect(() =&gt; {</w:t>
            </w:r>
          </w:p>
          <w:p>
            <w:pPr>
              <w:spacing w:after="0" w:line="240" w:lineRule="auto"/>
              <w:ind w:firstLine="0"/>
              <w:jc w:val="left"/>
            </w:pPr>
            <w:r>
              <w:rPr>
                <w:rFonts w:ascii="Consolas" w:hAnsi="Consolas" w:cs="Consolas" w:eastAsia="Consolas"/>
                <w:b w:val="0"/>
                <w:i w:val="0"/>
                <w:color w:val="000000"/>
                <w:sz w:val="18"/>
              </w:rPr>
              <w:t xml:space="preserve">  if (!state.user) {</w:t>
            </w:r>
          </w:p>
          <w:p>
            <w:pPr>
              <w:spacing w:after="0" w:line="240" w:lineRule="auto"/>
              <w:ind w:firstLine="0"/>
              <w:jc w:val="left"/>
            </w:pPr>
            <w:r>
              <w:rPr>
                <w:rFonts w:ascii="Consolas" w:hAnsi="Consolas" w:cs="Consolas" w:eastAsia="Consolas"/>
                <w:b w:val="0"/>
                <w:i w:val="0"/>
                <w:color w:val="000000"/>
                <w:sz w:val="18"/>
              </w:rPr>
              <w:t xml:space="preserve">    const defaultUser: User = {</w:t>
            </w:r>
          </w:p>
          <w:p>
            <w:pPr>
              <w:spacing w:after="0" w:line="240" w:lineRule="auto"/>
              <w:ind w:firstLine="0"/>
              <w:jc w:val="left"/>
            </w:pPr>
            <w:r>
              <w:rPr>
                <w:rFonts w:ascii="Consolas" w:hAnsi="Consolas" w:cs="Consolas" w:eastAsia="Consolas"/>
                <w:b w:val="0"/>
                <w:i w:val="0"/>
                <w:color w:val="000000"/>
                <w:sz w:val="18"/>
              </w:rPr>
              <w:t xml:space="preserve">      _id: '1',</w:t>
            </w:r>
          </w:p>
          <w:p>
            <w:pPr>
              <w:spacing w:after="0" w:line="240" w:lineRule="auto"/>
              <w:ind w:firstLine="0"/>
              <w:jc w:val="left"/>
            </w:pPr>
            <w:r>
              <w:rPr>
                <w:rFonts w:ascii="Consolas" w:hAnsi="Consolas" w:cs="Consolas" w:eastAsia="Consolas"/>
                <w:b w:val="0"/>
                <w:i w:val="0"/>
                <w:color w:val="000000"/>
                <w:sz w:val="18"/>
              </w:rPr>
              <w:t xml:space="preserve">      id: '1',</w:t>
            </w:r>
          </w:p>
          <w:p>
            <w:pPr>
              <w:spacing w:after="0" w:line="240" w:lineRule="auto"/>
              <w:ind w:firstLine="0"/>
              <w:jc w:val="left"/>
            </w:pPr>
            <w:r>
              <w:rPr>
                <w:rFonts w:ascii="Consolas" w:hAnsi="Consolas" w:cs="Consolas" w:eastAsia="Consolas"/>
                <w:b w:val="0"/>
                <w:i w:val="0"/>
                <w:color w:val="000000"/>
                <w:sz w:val="18"/>
              </w:rPr>
              <w:t xml:space="preserve">      name: 'John Doe',</w:t>
            </w:r>
          </w:p>
          <w:p>
            <w:pPr>
              <w:spacing w:after="0" w:line="240" w:lineRule="auto"/>
              <w:ind w:firstLine="0"/>
              <w:jc w:val="left"/>
            </w:pPr>
            <w:r>
              <w:rPr>
                <w:rFonts w:ascii="Consolas" w:hAnsi="Consolas" w:cs="Consolas" w:eastAsia="Consolas"/>
                <w:b w:val="0"/>
                <w:i w:val="0"/>
                <w:color w:val="000000"/>
                <w:sz w:val="18"/>
              </w:rPr>
              <w:t xml:space="preserve">      email: 'john@example.com',</w:t>
            </w:r>
          </w:p>
          <w:p>
            <w:pPr>
              <w:spacing w:after="0" w:line="240" w:lineRule="auto"/>
              <w:ind w:firstLine="0"/>
              <w:jc w:val="left"/>
            </w:pPr>
            <w:r>
              <w:rPr>
                <w:rFonts w:ascii="Consolas" w:hAnsi="Consolas" w:cs="Consolas" w:eastAsia="Consolas"/>
                <w:b w:val="0"/>
                <w:i w:val="0"/>
                <w:color w:val="000000"/>
                <w:sz w:val="18"/>
              </w:rPr>
              <w:t xml:space="preserve">      joinDate: new Date().toISOString(),</w:t>
            </w:r>
          </w:p>
          <w:p>
            <w:pPr>
              <w:spacing w:after="0" w:line="240" w:lineRule="auto"/>
              <w:ind w:firstLine="0"/>
              <w:jc w:val="left"/>
            </w:pPr>
            <w:r>
              <w:rPr>
                <w:rFonts w:ascii="Consolas" w:hAnsi="Consolas" w:cs="Consolas" w:eastAsia="Consolas"/>
                <w:b w:val="0"/>
                <w:i w:val="0"/>
                <w:color w:val="000000"/>
                <w:sz w:val="18"/>
              </w:rPr>
              <w:t xml:space="preserve">      streak: 0,</w:t>
            </w:r>
          </w:p>
          <w:p>
            <w:pPr>
              <w:spacing w:after="0" w:line="240" w:lineRule="auto"/>
              <w:ind w:firstLine="0"/>
              <w:jc w:val="left"/>
            </w:pPr>
            <w:r>
              <w:rPr>
                <w:rFonts w:ascii="Consolas" w:hAnsi="Consolas" w:cs="Consolas" w:eastAsia="Consolas"/>
                <w:b w:val="0"/>
                <w:i w:val="0"/>
                <w:color w:val="000000"/>
                <w:sz w:val="18"/>
              </w:rPr>
              <w:t xml:space="preserve">      totalPoints: 1250,</w:t>
            </w:r>
          </w:p>
          <w:p>
            <w:pPr>
              <w:spacing w:after="0" w:line="240" w:lineRule="auto"/>
              <w:ind w:firstLine="0"/>
              <w:jc w:val="left"/>
            </w:pPr>
            <w:r>
              <w:rPr>
                <w:rFonts w:ascii="Consolas" w:hAnsi="Consolas" w:cs="Consolas" w:eastAsia="Consolas"/>
                <w:b w:val="0"/>
                <w:i w:val="0"/>
                <w:color w:val="000000"/>
                <w:sz w:val="18"/>
              </w:rPr>
              <w:t xml:space="preserve">      level: 'Intermediate'</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xml:space="preserve">    dispatch({ type: 'SET_USER', payload: defaultUser });</w:t>
            </w:r>
          </w:p>
          <w:p>
            <w:pPr>
              <w:spacing w:after="0" w:line="240" w:lineRule="auto"/>
              <w:ind w:firstLine="0"/>
              <w:jc w:val="left"/>
            </w:pPr>
            <w:r>
              <w:rPr>
                <w:rFonts w:ascii="Consolas" w:hAnsi="Consolas" w:cs="Consolas" w:eastAsia="Consolas"/>
                <w:b w:val="0"/>
                <w:i w:val="0"/>
                <w:color w:val="000000"/>
                <w:sz w:val="18"/>
              </w:rPr>
              <w:t xml:space="preserve">  }</w:t>
            </w:r>
          </w:p>
          <w:p>
            <w:pPr>
              <w:spacing w:after="0" w:line="240" w:lineRule="auto"/>
              <w:ind w:firstLine="0"/>
              <w:jc w:val="left"/>
            </w:pPr>
            <w:r>
              <w:rPr>
                <w:rFonts w:ascii="Consolas" w:hAnsi="Consolas" w:cs="Consolas" w:eastAsia="Consolas"/>
                <w:b w:val="0"/>
                <w:i w:val="0"/>
                <w:color w:val="000000"/>
                <w:sz w:val="18"/>
              </w:rPr>
              <w:t>}, [state.user, dispatch]);</w:t>
            </w:r>
          </w:p>
        </w:tc>
      </w:tr>
    </w:tbl>
    <w:p>
      <w:pPr>
        <w:spacing w:before="60" w:after="240" w:line="240" w:lineRule="auto"/>
        <w:ind w:firstLine="0"/>
        <w:jc w:val="center"/>
      </w:pPr>
      <w:r>
        <w:rPr>
          <w:rFonts w:ascii="Times New Roman" w:hAnsi="Times New Roman" w:cs="Times New Roman" w:eastAsia="Times New Roman"/>
          <w:b w:val="0"/>
          <w:i/>
          <w:color w:val="000000"/>
          <w:sz w:val="20"/>
        </w:rPr>
        <w:t>Extract: Client/src/components/Dashboard/Dashboard.tsx</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consequence is that the statistics row of the dashboard displays the demonstration values until the real session state replaces them, and the recent attempts panel is rendered from a commented-out mapping, so that it always shows its empty state. The panels that depend on the server aggregation, namely the learning insights, the project recommendations and the achievements, are those that reported errors in the dashboard evidence supplied with this project, and the same behaviour is expected from the code, because those panels call the dashboard endpoint and handle a failed response by showing an error state rather than a fallback value.</w:t>
      </w:r>
    </w:p>
    <w:p>
      <w:pPr>
        <w:pStyle w:val="SectionHeading"/>
      </w:pPr>
      <w:r>
        <w:rPr>
          <w:rFonts w:ascii="Times New Roman" w:hAnsi="Times New Roman" w:cs="Times New Roman" w:eastAsia="Times New Roman"/>
          <w:b/>
          <w:i w:val="0"/>
          <w:color w:val="000000"/>
          <w:sz w:val="28"/>
        </w:rPr>
        <w:t>5.9  Learning Hub, Notes and Video Modules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Learning Hub presents four tracks, for data structures and algorithms, Java, the MERN stack and artificial intelligence, each of which is built from module cards, a topic view and a module content component. The content itself is declared in the client, while the progress, the personal notes and the reviews of each topic are persisted on the server through the four learning route groups. Each of those groups exposes the same set of operations for its track: the module list, the detail of a module, the creation of a note for a topic, the creation of a review for a topic and the update of the progress for a topic.</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notes module provides a second and more general mechanism. A note carries a title, a body, a topic, a set of tags, a visibility flag, a flag that identifies machine-generated content, an array of attachments and counters for views and likes. Attachments are uploaded through a multipart request that accepts up to five files of a restricted set of types, are written to the uploads directory of the server, and are served from the static path. The module also exposes public browsing, full-text search and a list of the machine-generated notes, and the client provides a modal in which a note may be composed with the assistance of the generative model.</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video module is built around the YouTube interface. The server obtains the course catalogue from the video service and falls back to a built-in list of courses when the credential is absent or the service fails. The client player reports the watch position to the progress endpoint, retrieves the continue-learning list and the per-course progress, and manages a bookmark collection. The frontend service module for this feature declares its own base address with a local host and port as the default, which is a defect in the deployed configuration.</w:t>
      </w:r>
    </w:p>
    <w:p>
      <w:pPr>
        <w:pStyle w:val="SectionHeading"/>
      </w:pPr>
      <w:r>
        <w:rPr>
          <w:rFonts w:ascii="Times New Roman" w:hAnsi="Times New Roman" w:cs="Times New Roman" w:eastAsia="Times New Roman"/>
          <w:b/>
          <w:i w:val="0"/>
          <w:color w:val="000000"/>
          <w:sz w:val="28"/>
        </w:rPr>
        <w:t>5.10  Quiz and Skill Assessment Implementation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quiz module is divided between the authoring side, the administration quiz route group, and the attempt side, the learner quiz route group. An authored quiz carries a title, a topic, a difficulty and a set of questions; an attempt carries the answers, the score, the number of questions, the time taken and the instant of completion. The client presents the attempt as a timed sequence of questions, scores the responses against the stored items, and shows a result screen together with a history of previous attempts. A separate administrative view lists the submissions of all learners with the responses they gave.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skill assessment module generates its instrument at run time. The controller holds a configuration table of five tracks, comprising data structures and algorithms, web development, machine learning, data science and cloud operations, each with its domain description, its item count and its prompt template. The generation call sends the template to the configured model, the returned items are parsed and stored with the assessment document, and the learner answers the items in the client. The submission call evaluates the answers in a second model pass and returns a score, an accuracy, an identified set of weaknesses and a generated improvement plan, all of which are stored with the assessment so that the history remains reproducible.</w:t>
      </w:r>
    </w:p>
    <w:p>
      <w:pPr>
        <w:pStyle w:val="SectionHeading"/>
      </w:pPr>
      <w:r>
        <w:rPr>
          <w:rFonts w:ascii="Times New Roman" w:hAnsi="Times New Roman" w:cs="Times New Roman" w:eastAsia="Times New Roman"/>
          <w:b/>
          <w:i w:val="0"/>
          <w:color w:val="000000"/>
          <w:sz w:val="28"/>
        </w:rPr>
        <w:t>5.11  Artificial Intelligence Integrations and Failure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Three provider integrations exist, and they differ in whether the credential remains on the server. The conversational and generative paths are proxied through the Express layer, so that the key is read from the environment at run time. The following extract shows the outbound call of the conversational handler.</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response = await axios.post(</w:t>
            </w:r>
          </w:p>
          <w:p>
            <w:pPr>
              <w:spacing w:after="0" w:line="240" w:lineRule="auto"/>
              <w:ind w:firstLine="0"/>
              <w:jc w:val="left"/>
            </w:pPr>
            <w:r>
              <w:rPr>
                <w:rFonts w:ascii="Consolas" w:hAnsi="Consolas" w:cs="Consolas" w:eastAsia="Consolas"/>
                <w:b w:val="0"/>
                <w:i w:val="0"/>
                <w:color w:val="000000"/>
                <w:sz w:val="18"/>
              </w:rPr>
              <w:t xml:space="preserve">  `https://generativelanguage.googleapis.com/v1beta/models/gemini-2.0-flash:generateContent?key=${process.env.GEMINI_API_KEY}`,</w:t>
            </w:r>
          </w:p>
          <w:p>
            <w:pPr>
              <w:spacing w:after="0" w:line="240" w:lineRule="auto"/>
              <w:ind w:firstLine="0"/>
              <w:jc w:val="left"/>
            </w:pPr>
            <w:r>
              <w:rPr>
                <w:rFonts w:ascii="Consolas" w:hAnsi="Consolas" w:cs="Consolas" w:eastAsia="Consolas"/>
                <w:b w:val="0"/>
                <w:i w:val="0"/>
                <w:color w:val="000000"/>
                <w:sz w:val="18"/>
              </w:rPr>
              <w:t xml:space="preserve">  { contents: [ { role: "user", parts: [ { text: prompt } ] } ] },</w:t>
            </w:r>
          </w:p>
          <w:p>
            <w:pPr>
              <w:spacing w:after="0" w:line="240" w:lineRule="auto"/>
              <w:ind w:firstLine="0"/>
              <w:jc w:val="left"/>
            </w:pPr>
            <w:r>
              <w:rPr>
                <w:rFonts w:ascii="Consolas" w:hAnsi="Consolas" w:cs="Consolas" w:eastAsia="Consolas"/>
                <w:b w:val="0"/>
                <w:i w:val="0"/>
                <w:color w:val="000000"/>
                <w:sz w:val="18"/>
              </w:rPr>
              <w:t xml:space="preserve">  { headers: {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const aiText = response.data?.candidates?.[0]?.content?.parts?.[0].text ||</w:t>
            </w:r>
          </w:p>
          <w:p>
            <w:pPr>
              <w:spacing w:after="0" w:line="240" w:lineRule="auto"/>
              <w:ind w:firstLine="0"/>
              <w:jc w:val="left"/>
            </w:pPr>
            <w:r>
              <w:rPr>
                <w:rFonts w:ascii="Consolas" w:hAnsi="Consolas" w:cs="Consolas" w:eastAsia="Consolas"/>
                <w:b w:val="0"/>
                <w:i w:val="0"/>
                <w:color w:val="000000"/>
                <w:sz w:val="18"/>
              </w:rPr>
              <w:t xml:space="preserve">  "No reply received";</w:t>
            </w:r>
          </w:p>
          <w:p>
            <w:pPr>
              <w:spacing w:after="0" w:line="240" w:lineRule="auto"/>
              <w:ind w:firstLine="0"/>
              <w:jc w:val="left"/>
            </w:pPr>
            <w:r>
              <w:rPr>
                <w:rFonts w:ascii="Consolas" w:hAnsi="Consolas" w:cs="Consolas" w:eastAsia="Consolas"/>
                <w:b w:val="0"/>
                <w:i w:val="0"/>
                <w:color w:val="000000"/>
                <w:sz w:val="18"/>
              </w:rPr>
              <w:t>res.status(200).json({ reply: aiText });</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Server/controller/aiController.js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handler distinguishes a rate-limit response from a general failure and returns a status of 429 with an explanatory message in the first case and a general error in the second. No retry, no back-off and no fallback provider are implemented, so a transient failure of the provider is presented to the learner as a failed request.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integration is different in kind. The project recommender calls the Groq inference service directly from the browser, using a key that the build tool inlines into the delivered bundle, and it targets the LLaMA 3 8B model through an OpenAI-compatible interface. The helper includes a local fallback path that produces a heuristic response when the call fails, so the module remains usable without a credential; the cost of this design is that the credential is exposed to every visitor of the deployed application, which is recorded as a high-priority defect in Section 6.5.</w:t>
      </w:r>
    </w:p>
    <w:p>
      <w:pPr>
        <w:keepNext w:val="0"/>
        <w:spacing w:before="0" w:after="0" w:line="324" w:lineRule="auto"/>
        <w:ind w:firstLine="720"/>
        <w:jc w:val="both"/>
      </w:pPr>
      <w:r>
        <w:rPr>
          <w:rFonts w:ascii="Times New Roman" w:hAnsi="Times New Roman" w:cs="Times New Roman" w:eastAsia="Times New Roman"/>
          <w:b w:val="0"/>
          <w:i w:val="0"/>
          <w:color w:val="000000"/>
          <w:sz w:val="24"/>
        </w:rPr>
        <w:t>A further client-side capability deserves mention. The search utility includes a semantic search implementation based on a local embedding model that runs in the browser, so that the similarity of a query against the content index is computed on the client without a server round trip. This is the only genuinely client-side machine-learning feature in the project.</w:t>
      </w:r>
    </w:p>
    <w:p>
      <w:pPr>
        <w:pStyle w:val="SectionHeading"/>
      </w:pPr>
      <w:r>
        <w:rPr>
          <w:rFonts w:ascii="Times New Roman" w:hAnsi="Times New Roman" w:cs="Times New Roman" w:eastAsia="Times New Roman"/>
          <w:b/>
          <w:i w:val="0"/>
          <w:color w:val="000000"/>
          <w:sz w:val="28"/>
        </w:rPr>
        <w:t>5.12  Code Editor and Compiler Integration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code workspace is implemented with the Monaco editor, which provides syntax highlighting, completion and a model of the document that is independent of the framework. The client registers two key bindings, one that runs the current program and one that runs and submits it. The language identifiers are declared in a local table that maps each supported language onto the numeric identifier expected by the compiler service, and the practice problem set is likewise declared locally.</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submission path is shown in the following extract, in which the source is transported as base64 and the call is forwarded to the compiler aggregator with the synchronised wait option.</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submission = await axios.post(</w:t>
            </w:r>
          </w:p>
          <w:p>
            <w:pPr>
              <w:spacing w:after="0" w:line="240" w:lineRule="auto"/>
              <w:ind w:firstLine="0"/>
              <w:jc w:val="left"/>
            </w:pPr>
            <w:r>
              <w:rPr>
                <w:rFonts w:ascii="Consolas" w:hAnsi="Consolas" w:cs="Consolas" w:eastAsia="Consolas"/>
                <w:b w:val="0"/>
                <w:i w:val="0"/>
                <w:color w:val="000000"/>
                <w:sz w:val="18"/>
              </w:rPr>
              <w:t xml:space="preserve">  "https://judge0-ce.p.rapidapi.com/submissions?base64_encoded=false&amp;wait=true",</w:t>
            </w:r>
          </w:p>
          <w:p>
            <w:pPr>
              <w:spacing w:after="0" w:line="240" w:lineRule="auto"/>
              <w:ind w:firstLine="0"/>
              <w:jc w:val="left"/>
            </w:pPr>
            <w:r>
              <w:rPr>
                <w:rFonts w:ascii="Consolas" w:hAnsi="Consolas" w:cs="Consolas" w:eastAsia="Consolas"/>
                <w:b w:val="0"/>
                <w:i w:val="0"/>
                <w:color w:val="000000"/>
                <w:sz w:val="18"/>
              </w:rPr>
              <w:t xml:space="preserve">  { source_code, language_id, stdin },</w:t>
            </w:r>
          </w:p>
          <w:p>
            <w:pPr>
              <w:spacing w:after="0" w:line="240" w:lineRule="auto"/>
              <w:ind w:firstLine="0"/>
              <w:jc w:val="left"/>
            </w:pPr>
            <w:r>
              <w:rPr>
                <w:rFonts w:ascii="Consolas" w:hAnsi="Consolas" w:cs="Consolas" w:eastAsia="Consolas"/>
                <w:b w:val="0"/>
                <w:i w:val="0"/>
                <w:color w:val="000000"/>
                <w:sz w:val="18"/>
              </w:rPr>
              <w:t xml:space="preserve">  { headers: {</w:t>
            </w:r>
          </w:p>
          <w:p>
            <w:pPr>
              <w:spacing w:after="0" w:line="240" w:lineRule="auto"/>
              <w:ind w:firstLine="0"/>
              <w:jc w:val="left"/>
            </w:pPr>
            <w:r>
              <w:rPr>
                <w:rFonts w:ascii="Consolas" w:hAnsi="Consolas" w:cs="Consolas" w:eastAsia="Consolas"/>
                <w:b w:val="0"/>
                <w:i w:val="0"/>
                <w:color w:val="000000"/>
                <w:sz w:val="18"/>
              </w:rPr>
              <w:t xml:space="preserve">      "x-rapidapi-host": "judge0-ce.p.rapidapi.com",</w:t>
            </w:r>
          </w:p>
          <w:p>
            <w:pPr>
              <w:spacing w:after="0" w:line="240" w:lineRule="auto"/>
              <w:ind w:firstLine="0"/>
              <w:jc w:val="left"/>
            </w:pPr>
            <w:r>
              <w:rPr>
                <w:rFonts w:ascii="Consolas" w:hAnsi="Consolas" w:cs="Consolas" w:eastAsia="Consolas"/>
                <w:b w:val="0"/>
                <w:i w:val="0"/>
                <w:color w:val="000000"/>
                <w:sz w:val="18"/>
              </w:rPr>
              <w:t xml:space="preserve">      "x-rapidapi-key": process.env.RAPID_API_KEY,</w:t>
            </w:r>
          </w:p>
          <w:p>
            <w:pPr>
              <w:spacing w:after="0" w:line="240" w:lineRule="auto"/>
              <w:ind w:firstLine="0"/>
              <w:jc w:val="left"/>
            </w:pPr>
            <w:r>
              <w:rPr>
                <w:rFonts w:ascii="Consolas" w:hAnsi="Consolas" w:cs="Consolas" w:eastAsia="Consolas"/>
                <w:b w:val="0"/>
                <w:i w:val="0"/>
                <w:color w:val="000000"/>
                <w:sz w:val="18"/>
              </w:rPr>
              <w:t xml:space="preserve">      "content-type": "application/json" } }</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return res.json(submission.data);</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Server/routes/compilerRoutes.js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sends the request to a literal local address rather than to the configured interface base address, and the route itself performs no authentication, so the endpoint is open to anonymous use. The contest path uses the self-hosted compiler configuration, posts the submission, polls for the result at one-second intervals for up to ten attempts and then applies the scoring rule, which awards a fixed number of points by difficulty and adds a twenty-minute penalty for each previous failed attempt on the same problem.</w:t>
      </w:r>
    </w:p>
    <w:p>
      <w:pPr>
        <w:pStyle w:val="SectionHeading"/>
      </w:pPr>
      <w:r>
        <w:rPr>
          <w:rFonts w:ascii="Times New Roman" w:hAnsi="Times New Roman" w:cs="Times New Roman" w:eastAsia="Times New Roman"/>
          <w:b/>
          <w:i w:val="0"/>
          <w:color w:val="000000"/>
          <w:sz w:val="28"/>
        </w:rPr>
        <w:t>5.13  Contest Leaderboard and Rating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contest controller is the largest single file in the project, at about 1,794 lines, and it implements the full lifecycle: listing contests by status, returning a contest with its problems, registering a participant, accepting and grading a submission, computing the leaderboard, returning the personal rating and the results, and running a scheduled task that finalises contests whose window has closed. The rating calculation is implemented in a dedicated utility in the Elo manner, with a constant of 32 for the magnitude of a single contest's effect and a divisor of 400 for the expected score.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K_FACTOR = 32;</w:t>
            </w:r>
          </w:p>
          <w:p>
            <w:pPr>
              <w:spacing w:after="0" w:line="240" w:lineRule="auto"/>
              <w:ind w:firstLine="0"/>
              <w:jc w:val="left"/>
            </w:pPr>
            <w:r>
              <w:rPr>
                <w:rFonts w:ascii="Consolas" w:hAnsi="Consolas" w:cs="Consolas" w:eastAsia="Consolas"/>
                <w:b w:val="0"/>
                <w:i w:val="0"/>
                <w:color w:val="000000"/>
                <w:sz w:val="18"/>
              </w:rPr>
              <w:t>const EXPECTED_SCORE_FACTOR = 400;</w:t>
            </w:r>
          </w:p>
          <w:p>
            <w:pPr>
              <w:spacing w:after="0" w:line="240" w:lineRule="auto"/>
              <w:ind w:firstLine="0"/>
              <w:jc w:val="left"/>
            </w:pPr>
            <w:r>
              <w:rPr>
                <w:rFonts w:ascii="Consolas" w:hAnsi="Consolas" w:cs="Consolas" w:eastAsia="Consolas"/>
                <w:b w:val="0"/>
                <w:i w:val="0"/>
                <w:color w:val="000000"/>
                <w:sz w:val="18"/>
              </w:rPr>
              <w:t>const calculateExpectedScore = (ratingA, ratingB) =&gt;</w:t>
            </w:r>
          </w:p>
          <w:p>
            <w:pPr>
              <w:spacing w:after="0" w:line="240" w:lineRule="auto"/>
              <w:ind w:firstLine="0"/>
              <w:jc w:val="left"/>
            </w:pPr>
            <w:r>
              <w:rPr>
                <w:rFonts w:ascii="Consolas" w:hAnsi="Consolas" w:cs="Consolas" w:eastAsia="Consolas"/>
                <w:b w:val="0"/>
                <w:i w:val="0"/>
                <w:color w:val="000000"/>
                <w:sz w:val="18"/>
              </w:rPr>
              <w:t xml:space="preserve">  1 / (1 + Math.pow(10, (ratingB - ratingA) / EXPECTED_SCORE_FACTOR));</w:t>
            </w:r>
          </w:p>
          <w:p>
            <w:pPr>
              <w:spacing w:after="0" w:line="240" w:lineRule="auto"/>
              <w:ind w:firstLine="0"/>
              <w:jc w:val="left"/>
            </w:pPr>
            <w:r>
              <w:rPr>
                <w:rFonts w:ascii="Consolas" w:hAnsi="Consolas" w:cs="Consolas" w:eastAsia="Consolas"/>
                <w:b w:val="0"/>
                <w:i w:val="0"/>
                <w:color w:val="000000"/>
                <w:sz w:val="18"/>
              </w:rPr>
              <w:t>const calculateNewRating = (oldRating, actualScore, expectedScore) =&gt;</w:t>
            </w:r>
          </w:p>
          <w:p>
            <w:pPr>
              <w:spacing w:after="0" w:line="240" w:lineRule="auto"/>
              <w:ind w:firstLine="0"/>
              <w:jc w:val="left"/>
            </w:pPr>
            <w:r>
              <w:rPr>
                <w:rFonts w:ascii="Consolas" w:hAnsi="Consolas" w:cs="Consolas" w:eastAsia="Consolas"/>
                <w:b w:val="0"/>
                <w:i w:val="0"/>
                <w:color w:val="000000"/>
                <w:sz w:val="18"/>
              </w:rPr>
              <w:t xml:space="preserve">  Math.round(oldRating + K_FACTOR * (actualScore - expectedScore));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Server/utils/ratingCalculator.js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socket layer is initialised from the entry point and attaches to the same HTTP server as the REST interface. The handshake middleware reads a token from the handshake, verifies it and attempts to load the user; the following extract shows the point at which the design and the issued token diverge.</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const decoded = jwt.verify(token, process.env.JWT_SECRET);</w:t>
            </w:r>
          </w:p>
          <w:p>
            <w:pPr>
              <w:spacing w:after="0" w:line="240" w:lineRule="auto"/>
              <w:ind w:firstLine="0"/>
              <w:jc w:val="left"/>
            </w:pPr>
            <w:r>
              <w:rPr>
                <w:rFonts w:ascii="Consolas" w:hAnsi="Consolas" w:cs="Consolas" w:eastAsia="Consolas"/>
                <w:b w:val="0"/>
                <w:i w:val="0"/>
                <w:color w:val="000000"/>
                <w:sz w:val="18"/>
              </w:rPr>
              <w:t>const user = await User.findById(decoded.id).select("-password");</w:t>
            </w:r>
          </w:p>
          <w:p>
            <w:pPr>
              <w:spacing w:after="0" w:line="240" w:lineRule="auto"/>
              <w:ind w:firstLine="0"/>
              <w:jc w:val="left"/>
            </w:pPr>
            <w:r>
              <w:rPr>
                <w:rFonts w:ascii="Consolas" w:hAnsi="Consolas" w:cs="Consolas" w:eastAsia="Consolas"/>
                <w:b w:val="0"/>
                <w:i w:val="0"/>
                <w:color w:val="000000"/>
                <w:sz w:val="18"/>
              </w:rPr>
              <w:t>if (!user) { return next(new Error("User not found")); }</w:t>
            </w:r>
          </w:p>
          <w:p>
            <w:pPr>
              <w:spacing w:after="0" w:line="240" w:lineRule="auto"/>
              <w:ind w:firstLine="0"/>
              <w:jc w:val="left"/>
            </w:pPr>
            <w:r>
              <w:rPr>
                <w:rFonts w:ascii="Consolas" w:hAnsi="Consolas" w:cs="Consolas" w:eastAsia="Consolas"/>
                <w:b w:val="0"/>
                <w:i w:val="0"/>
                <w:color w:val="000000"/>
                <w:sz w:val="18"/>
              </w:rPr>
              <w:t>socket.user = user;</w:t>
            </w:r>
          </w:p>
          <w:p>
            <w:pPr>
              <w:spacing w:after="0" w:line="240" w:lineRule="auto"/>
              <w:ind w:firstLine="0"/>
              <w:jc w:val="left"/>
            </w:pPr>
            <w:r>
              <w:rPr>
                <w:rFonts w:ascii="Consolas" w:hAnsi="Consolas" w:cs="Consolas" w:eastAsia="Consolas"/>
                <w:b w:val="0"/>
                <w:i w:val="0"/>
                <w:color w:val="000000"/>
                <w:sz w:val="18"/>
              </w:rPr>
              <w:t>next();</w:t>
            </w:r>
          </w:p>
          <w:p>
            <w:pPr>
              <w:spacing w:after="0" w:line="240" w:lineRule="auto"/>
              <w:ind w:firstLine="0"/>
              <w:jc w:val="left"/>
            </w:pPr>
            <w:r>
              <w:rPr>
                <w:rFonts w:ascii="Consolas" w:hAnsi="Consolas" w:cs="Consolas" w:eastAsia="Consolas"/>
                <w:b w:val="0"/>
                <w:i w:val="0"/>
                <w:color w:val="000000"/>
                <w:sz w:val="18"/>
              </w:rPr>
              <w:t>// on error: socket.user = null; next();</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Server/socket.js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identity middleware of the REST layer accepts the user identifier from any of three claim names, as shown earlier, but the socket middleware accepts only one of them, and the tokens issued by the registration, verification, credential and Google paths contain only another. The lookup therefore raises a cast error, the catch block admits the connection with a null user, and the contest rooms consequently operate without an authenticated participant.</w:t>
      </w:r>
    </w:p>
    <w:p>
      <w:pPr>
        <w:pStyle w:val="SectionHeading"/>
      </w:pPr>
      <w:r>
        <w:rPr>
          <w:rFonts w:ascii="Times New Roman" w:hAnsi="Times New Roman" w:cs="Times New Roman" w:eastAsia="Times New Roman"/>
          <w:b/>
          <w:i w:val="0"/>
          <w:color w:val="000000"/>
          <w:sz w:val="28"/>
        </w:rPr>
        <w:t>5.14  Notes, Community and Technology Feed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community module implements the familiar question-and-answer pattern with the additions that an educational community requires: a question may be marked as resolved by its author, and an answer may be accepted by the author of the question. Both of these operations are restricted to administrators in the route declaration, which is a stricter policy than the ownership rule would require and is noted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like operation on a note illustrates the danger of a schema and a route that have drifted apart. The schema declares an array of user identifiers named as the likes and a virtual count with a getter only, whereas the route reads and writes a field with a different name and assigns to the virtual count, as shown in the following extract.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firstColumn="1" w:firstRow="1" w:lastColumn="0" w:lastRow="0" w:noHBand="0" w:noVBand="1" w:val="04A0"/>
      </w:tblPr>
      <w:tblGrid>
        <w:gridCol w:w="9029"/>
      </w:tblGrid>
      <w:tr>
        <w:tc>
          <w:tcPr>
            <w:tcW w:type="dxa" w:w="9029"/>
            <w:shd w:val="clear" w:color="auto" w:fill="F4F4F4"/>
          </w:tcPr>
          <w:p>
            <w:pPr>
              <w:spacing w:after="0" w:line="240" w:lineRule="auto"/>
              <w:ind w:firstLine="0"/>
              <w:jc w:val="left"/>
            </w:pPr>
            <w:r/>
            <w:r>
              <w:rPr>
                <w:rFonts w:ascii="Consolas" w:hAnsi="Consolas" w:cs="Consolas" w:eastAsia="Consolas"/>
                <w:b w:val="0"/>
                <w:i w:val="0"/>
                <w:color w:val="000000"/>
                <w:sz w:val="18"/>
              </w:rPr>
              <w:t>if (!note.likedBy) { note.likedBy = []; }</w:t>
            </w:r>
          </w:p>
          <w:p>
            <w:pPr>
              <w:spacing w:after="0" w:line="240" w:lineRule="auto"/>
              <w:ind w:firstLine="0"/>
              <w:jc w:val="left"/>
            </w:pPr>
            <w:r>
              <w:rPr>
                <w:rFonts w:ascii="Consolas" w:hAnsi="Consolas" w:cs="Consolas" w:eastAsia="Consolas"/>
                <w:b w:val="0"/>
                <w:i w:val="0"/>
                <w:color w:val="000000"/>
                <w:sz w:val="18"/>
              </w:rPr>
              <w:t>const hasLiked = note.likedBy.some(id =&gt; id.toString() === userId.toString());</w:t>
            </w:r>
          </w:p>
          <w:p>
            <w:pPr>
              <w:spacing w:after="0" w:line="240" w:lineRule="auto"/>
              <w:ind w:firstLine="0"/>
              <w:jc w:val="left"/>
            </w:pPr>
            <w:r>
              <w:rPr>
                <w:rFonts w:ascii="Consolas" w:hAnsi="Consolas" w:cs="Consolas" w:eastAsia="Consolas"/>
                <w:b w:val="0"/>
                <w:i w:val="0"/>
                <w:color w:val="000000"/>
                <w:sz w:val="18"/>
              </w:rPr>
              <w:t>if (hasLiked) {</w:t>
            </w:r>
          </w:p>
          <w:p>
            <w:pPr>
              <w:spacing w:after="0" w:line="240" w:lineRule="auto"/>
              <w:ind w:firstLine="0"/>
              <w:jc w:val="left"/>
            </w:pPr>
            <w:r>
              <w:rPr>
                <w:rFonts w:ascii="Consolas" w:hAnsi="Consolas" w:cs="Consolas" w:eastAsia="Consolas"/>
                <w:b w:val="0"/>
                <w:i w:val="0"/>
                <w:color w:val="000000"/>
                <w:sz w:val="18"/>
              </w:rPr>
              <w:t xml:space="preserve">  note.likedBy = note.likedBy.filter(id =&gt; id.toString() !== userId.toString());</w:t>
            </w:r>
          </w:p>
          <w:p>
            <w:pPr>
              <w:spacing w:after="0" w:line="240" w:lineRule="auto"/>
              <w:ind w:firstLine="0"/>
              <w:jc w:val="left"/>
            </w:pPr>
            <w:r>
              <w:rPr>
                <w:rFonts w:ascii="Consolas" w:hAnsi="Consolas" w:cs="Consolas" w:eastAsia="Consolas"/>
                <w:b w:val="0"/>
                <w:i w:val="0"/>
                <w:color w:val="000000"/>
                <w:sz w:val="18"/>
              </w:rPr>
              <w:t xml:space="preserve">  note.likeCount = Math.max(0, (note.likeCount || 0) - 1);</w:t>
            </w:r>
          </w:p>
          <w:p>
            <w:pPr>
              <w:spacing w:after="0" w:line="240" w:lineRule="auto"/>
              <w:ind w:firstLine="0"/>
              <w:jc w:val="left"/>
            </w:pPr>
            <w:r>
              <w:rPr>
                <w:rFonts w:ascii="Consolas" w:hAnsi="Consolas" w:cs="Consolas" w:eastAsia="Consolas"/>
                <w:b w:val="0"/>
                <w:i w:val="0"/>
                <w:color w:val="000000"/>
                <w:sz w:val="18"/>
              </w:rPr>
              <w:t>} else {</w:t>
            </w:r>
          </w:p>
          <w:p>
            <w:pPr>
              <w:spacing w:after="0" w:line="240" w:lineRule="auto"/>
              <w:ind w:firstLine="0"/>
              <w:jc w:val="left"/>
            </w:pPr>
            <w:r>
              <w:rPr>
                <w:rFonts w:ascii="Consolas" w:hAnsi="Consolas" w:cs="Consolas" w:eastAsia="Consolas"/>
                <w:b w:val="0"/>
                <w:i w:val="0"/>
                <w:color w:val="000000"/>
                <w:sz w:val="18"/>
              </w:rPr>
              <w:t xml:space="preserve">  note.likedBy.push(userId);</w:t>
            </w:r>
          </w:p>
          <w:p>
            <w:pPr>
              <w:spacing w:after="0" w:line="240" w:lineRule="auto"/>
              <w:ind w:firstLine="0"/>
              <w:jc w:val="left"/>
            </w:pPr>
            <w:r>
              <w:rPr>
                <w:rFonts w:ascii="Consolas" w:hAnsi="Consolas" w:cs="Consolas" w:eastAsia="Consolas"/>
                <w:b w:val="0"/>
                <w:i w:val="0"/>
                <w:color w:val="000000"/>
                <w:sz w:val="18"/>
              </w:rPr>
              <w:t xml:space="preserve">  note.likeCount = (note.likeCount || 0) + 1;</w:t>
            </w:r>
          </w:p>
          <w:p>
            <w:pPr>
              <w:spacing w:after="0" w:line="240" w:lineRule="auto"/>
              <w:ind w:firstLine="0"/>
              <w:jc w:val="left"/>
            </w:pPr>
            <w:r>
              <w:rPr>
                <w:rFonts w:ascii="Consolas" w:hAnsi="Consolas" w:cs="Consolas" w:eastAsia="Consolas"/>
                <w:b w:val="0"/>
                <w:i w:val="0"/>
                <w:color w:val="000000"/>
                <w:sz w:val="18"/>
              </w:rPr>
              <w:t>}</w:t>
            </w:r>
          </w:p>
          <w:p>
            <w:pPr>
              <w:spacing w:after="0" w:line="240" w:lineRule="auto"/>
              <w:ind w:firstLine="0"/>
              <w:jc w:val="left"/>
            </w:pPr>
            <w:r>
              <w:rPr>
                <w:rFonts w:ascii="Consolas" w:hAnsi="Consolas" w:cs="Consolas" w:eastAsia="Consolas"/>
                <w:b w:val="0"/>
                <w:i w:val="0"/>
                <w:color w:val="000000"/>
                <w:sz w:val="18"/>
              </w:rPr>
              <w:t>await note.save();</w:t>
            </w:r>
          </w:p>
        </w:tc>
      </w:tr>
    </w:tbl>
    <w:p>
      <w:pPr>
        <w:spacing w:before="60" w:after="240" w:line="240" w:lineRule="auto"/>
        <w:ind w:firstLine="0"/>
        <w:jc w:val="center"/>
      </w:pPr>
      <w:r>
        <w:rPr>
          <w:rFonts w:ascii="Times New Roman" w:hAnsi="Times New Roman" w:cs="Times New Roman" w:eastAsia="Times New Roman"/>
          <w:b w:val="0"/>
          <w:i/>
          <w:color w:val="000000"/>
          <w:sz w:val="20"/>
        </w:rPr>
        <w:t>Extract: Server/routes/notesRoutes.js</w:t>
      </w:r>
    </w:p>
    <w:p>
      <w:pPr>
        <w:keepNext w:val="0"/>
        <w:spacing w:before="0" w:after="0" w:line="324" w:lineRule="auto"/>
        <w:ind w:firstLine="720"/>
        <w:jc w:val="both"/>
      </w:pPr>
      <w:r>
        <w:rPr>
          <w:rFonts w:ascii="Times New Roman" w:hAnsi="Times New Roman" w:cs="Times New Roman" w:eastAsia="Times New Roman"/>
          <w:b w:val="0"/>
          <w:i w:val="0"/>
          <w:color w:val="000000"/>
          <w:sz w:val="24"/>
        </w:rPr>
        <w:t>Because the mapper discards fields that the schema does not declare, the write to the undeclared array is not persisted, and because the virtual count has no setter, the assignment to it raises an error that the handler converts into a 500 response. The operation therefore never succeeds, and the defect is recorded as test case TC-13 with the correction specified in Chapter 6.</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technology feed aggregates current news through the news interface and classifies the articles into job, internship and event categories for the client. The server also exposes a latest-news route that performs the same aggregation, and this route contains a credential written as a literal in the source, which is one of the two credential exposures reported in Section 6.5.</w:t>
      </w:r>
    </w:p>
    <w:p>
      <w:pPr>
        <w:pStyle w:val="SectionHeading"/>
      </w:pPr>
      <w:r>
        <w:rPr>
          <w:rFonts w:ascii="Times New Roman" w:hAnsi="Times New Roman" w:cs="Times New Roman" w:eastAsia="Times New Roman"/>
          <w:b/>
          <w:i w:val="0"/>
          <w:color w:val="000000"/>
          <w:sz w:val="28"/>
        </w:rPr>
        <w:t>5.15  Résumé Builder and Cover Letter Generation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résumé builder is organised as a sequence of forms, one for each section of the document, feeding a live preview and a set of templates that are declared in the client for three professional profiles: a software engineer, a data scientist and a product manager. Two exports are produced from the same data: a styled document for human reading and a plain, single-column variant for machine parsing, both written with the browser-side PDF library that rasterises the rendered markup into a paginated document.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applicant-tracking-system scanner posts the resume content to the server, where a deterministic analysis compares the text against a general keyword set and against the keyword sets of a chosen role, and reports the coverage with suggestions. The three keyword utilities that implement this comparison are pure functions over the text and the keyword lists, which makes the result reproducible and auditable.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cover-letter module has no server counterpart at all. The composed letter is held in the browser, is persisted under a single key in local storage, and is exported with the direct document-writing library, using its own text measurement and wrapping functions. It has no plain variant for machine parsing, no scanner and no server-side storage, which is an asymmetry with the résumé module and a divergence between the synopsis and the implementation.</w:t>
      </w:r>
    </w:p>
    <w:p>
      <w:pPr>
        <w:pStyle w:val="SectionHeading"/>
      </w:pPr>
      <w:r>
        <w:rPr>
          <w:rFonts w:ascii="Times New Roman" w:hAnsi="Times New Roman" w:cs="Times New Roman" w:eastAsia="Times New Roman"/>
          <w:b/>
          <w:i w:val="0"/>
          <w:color w:val="000000"/>
          <w:sz w:val="28"/>
        </w:rPr>
        <w:t>5.16  Administration Console</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administration console is mounted on its own branch of the client router and is implemented as nine routed modules. User management lists the registered users and supports the addition and the deletion of an account. Content management edits the course catalogue and can import the metadata of a course from the video service. Quiz management authors quizzes and their questions and lists the submissions of the learners. The community module reviews questions and answers. The analytics module presents the aggregate statistics of the platform with charts drawn from two charting libraries. The system-logs module presents the audit trail. The settings module presents the platform configuration and permits the maintenance mode and the registration switch to be changed, subject to the secondary secret check. The feedback module reviews the messages submitted through the support form.</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overview module of the console is passed empty collections and its action handlers are placeholders, so that the tiles of the overview page display nothing. This is a genuine defect of the delivered interface, recorded in Chapter 6, and it is the reason why the overview is not presented in this report as a working screen.</w:t>
      </w:r>
    </w:p>
    <w:p>
      <w:pPr>
        <w:pStyle w:val="SectionHeading"/>
      </w:pPr>
      <w:r>
        <w:rPr>
          <w:rFonts w:ascii="Times New Roman" w:hAnsi="Times New Roman" w:cs="Times New Roman" w:eastAsia="Times New Roman"/>
          <w:b/>
          <w:i w:val="0"/>
          <w:color w:val="000000"/>
          <w:sz w:val="28"/>
        </w:rPr>
        <w:t>5.17  Notifications, Productivity Tools and Search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notification module stores one document per alert, addressed to a user and carrying a type and a read flag; the client presents the alerts in a panel beside the navigation and offers a mark-as-read and a delete operation. The calendar module presents a month view of the learner's events, the task module presents a board of tasks, and the calculator module offers six modes, of which the scientific, financial, graphing, physics, unit-conversion and basic modes are implemented over the mathematical expression library, with the history of calculations persisted in the browser.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global search module builds an index over the static content of the application in the browser and queries it directly, with a type filter. It is therefore a client-side search over the shipped data and does not search the learner's own content, which resides on the server. The task module is not reachable from the route table, and a placement-statistics page of considerable size is likewise unrouted, both of which are recorded in Chapter 6 as dead code.</w:t>
      </w:r>
    </w:p>
    <w:p>
      <w:pPr>
        <w:pStyle w:val="SectionHeading"/>
      </w:pPr>
      <w:r>
        <w:rPr>
          <w:rFonts w:ascii="Times New Roman" w:hAnsi="Times New Roman" w:cs="Times New Roman" w:eastAsia="Times New Roman"/>
          <w:b/>
          <w:i w:val="0"/>
          <w:color w:val="000000"/>
          <w:sz w:val="28"/>
        </w:rPr>
        <w:t>5.18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Error handling is distributed rather than centralised. The entry point installs a global handler of four arguments that logs the error and returns a JSON document, which covers the exceptions that reach the framework. Individual controllers wrap their work in a try block and return a JSON error object with an appropriate status, which is the dominant pattern in the project. The client centralises the handling of the two most common cases in the response interceptor of the shared HTTP instance, which clears the stored session on a 401 response and logs a 403 response.</w:t>
      </w:r>
    </w:p>
    <w:p>
      <w:pPr>
        <w:keepNext w:val="0"/>
        <w:spacing w:before="0" w:after="0" w:line="324" w:lineRule="auto"/>
        <w:ind w:firstLine="720"/>
        <w:jc w:val="both"/>
      </w:pPr>
      <w:r>
        <w:rPr>
          <w:rFonts w:ascii="Times New Roman" w:hAnsi="Times New Roman" w:cs="Times New Roman" w:eastAsia="Times New Roman"/>
          <w:b w:val="0"/>
          <w:i w:val="0"/>
          <w:color w:val="000000"/>
          <w:sz w:val="24"/>
        </w:rPr>
        <w:t>Two weaknesses follow from this distribution. There is no validation layer, because the module that contains the validation helpers is not attached to any route chain; the request bodies are therefore accepted as they arrive and are checked, where at all, inside the controllers. And no error boundary is declared anywhere in the client, so that an exception thrown while rendering any screen leaves the application without an interface rather than showing a recovery view.</w:t>
      </w:r>
    </w:p>
    <w:p>
      <w:pPr>
        <w:pStyle w:val="SectionHeading"/>
      </w:pPr>
      <w:r>
        <w:rPr>
          <w:rFonts w:ascii="Times New Roman" w:hAnsi="Times New Roman" w:cs="Times New Roman" w:eastAsia="Times New Roman"/>
          <w:b/>
          <w:i w:val="0"/>
          <w:color w:val="000000"/>
          <w:sz w:val="28"/>
        </w:rPr>
        <w:t>5.19  Build and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client is built by the bundler, with the production output written to a distribution directory. The deployment configuration in the repository names the build command, the output directory and a rewrite rule that sends every unmatched path to the client entry point, which is the correct rule for a single-page application with client-side routing. It has one significant omission: the rewrite is unconditional, so that an interface path that is requested relatively, without the host of the server, is answered with the entry point document rather than being proxied to the server. The client contains three different strategies for addressing the server, namely the configured base address, a relative path and a literal local host and port, and only the first is correct in a deployment.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verification of the build itself is reported in Chapter 6, where it is shown that the type check of the client currently fails because twelve files of the client source contain unresolved merge-conflict markers, and that the development server accordingly serves an error overlay instead of the application. The server, by contrast, parses completely: all 107 of its JavaScript files pass a syntax check.</w:t>
      </w:r>
    </w:p>
    <w:p>
      <w:pPr>
        <w:pStyle w:val="SectionHeading"/>
      </w:pPr>
      <w:r>
        <w:rPr>
          <w:rFonts w:ascii="Times New Roman" w:hAnsi="Times New Roman" w:cs="Times New Roman" w:eastAsia="Times New Roman"/>
          <w:b/>
          <w:i w:val="0"/>
          <w:color w:val="000000"/>
          <w:sz w:val="28"/>
        </w:rPr>
        <w:t>5.20  Repository Screen Recording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Figures 5.6 and 5.7 are frames of the screen recording that is committed with the repository as a demonstration of the authentication flow. They are included as evidence of the interface that the project has produced, and they are distinct from the deployed screens of Figures 5.1 to 5.5 in that they were recorded from a local build.</w:t>
      </w:r>
    </w:p>
    <w:p>
      <w:pPr>
        <w:keepNext/>
        <w:spacing w:before="200" w:after="40"/>
        <w:ind w:firstLine="0"/>
        <w:jc w:val="center"/>
      </w:pPr>
      <w:r>
        <w:drawing>
          <wp:inline xmlns:a="http://schemas.openxmlformats.org/drawingml/2006/main" xmlns:pic="http://schemas.openxmlformats.org/drawingml/2006/picture">
            <wp:extent cx="4937760" cy="2419502"/>
            <wp:docPr id="14" name="Picture 14"/>
            <wp:cNvGraphicFramePr>
              <a:graphicFrameLocks noChangeAspect="1"/>
            </wp:cNvGraphicFramePr>
            <a:graphic>
              <a:graphicData uri="http://schemas.openxmlformats.org/drawingml/2006/picture">
                <pic:pic>
                  <pic:nvPicPr>
                    <pic:cNvPr id="0" name="loginflow_187.png"/>
                    <pic:cNvPicPr/>
                  </pic:nvPicPr>
                  <pic:blipFill>
                    <a:blip r:embed="rId25"/>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5.6: Frame of the repository screen recording of the authentication flow</w:t>
      </w:r>
    </w:p>
    <w:p>
      <w:pPr>
        <w:keepNext/>
        <w:spacing w:before="200" w:after="40"/>
        <w:ind w:firstLine="0"/>
        <w:jc w:val="center"/>
      </w:pPr>
      <w:r>
        <w:drawing>
          <wp:inline xmlns:a="http://schemas.openxmlformats.org/drawingml/2006/main" xmlns:pic="http://schemas.openxmlformats.org/drawingml/2006/picture">
            <wp:extent cx="4937760" cy="2419502"/>
            <wp:docPr id="15" name="Picture 15"/>
            <wp:cNvGraphicFramePr>
              <a:graphicFrameLocks noChangeAspect="1"/>
            </wp:cNvGraphicFramePr>
            <a:graphic>
              <a:graphicData uri="http://schemas.openxmlformats.org/drawingml/2006/picture">
                <pic:pic>
                  <pic:nvPicPr>
                    <pic:cNvPr id="0" name="loginflow_237.png"/>
                    <pic:cNvPicPr/>
                  </pic:nvPicPr>
                  <pic:blipFill>
                    <a:blip r:embed="rId26"/>
                    <a:stretch>
                      <a:fillRect/>
                    </a:stretch>
                  </pic:blipFill>
                  <pic:spPr>
                    <a:xfrm>
                      <a:off x="0" y="0"/>
                      <a:ext cx="4937760" cy="2419502"/>
                    </a:xfrm>
                    <a:prstGeom prst="rect"/>
                  </pic:spPr>
                </pic:pic>
              </a:graphicData>
            </a:graphic>
          </wp:inline>
        </w:drawing>
      </w:r>
    </w:p>
    <w:p>
      <w:pPr>
        <w:pStyle w:val="FigureCaption"/>
      </w:pPr>
      <w:r>
        <w:rPr>
          <w:rFonts w:ascii="Times New Roman" w:hAnsi="Times New Roman" w:cs="Times New Roman" w:eastAsia="Times New Roman"/>
          <w:b w:val="0"/>
          <w:i w:val="0"/>
          <w:color w:val="000000"/>
          <w:sz w:val="24"/>
        </w:rPr>
        <w:t>Fig. 5.7: Later frame of the repository screen recording of the authentication flow</w:t>
      </w:r>
    </w:p>
    <w:p>
      <w:r>
        <w:br w:type="page"/>
      </w:r>
    </w:p>
    <w:p>
      <w:pPr>
        <w:keepNext/>
        <w:spacing w:before="0" w:after="40" w:line="276" w:lineRule="auto"/>
        <w:ind w:firstLine="0"/>
        <w:jc w:val="left"/>
      </w:pPr>
      <w:r>
        <w:rPr>
          <w:rFonts w:ascii="Times New Roman" w:hAnsi="Times New Roman" w:cs="Times New Roman" w:eastAsia="Times New Roman"/>
          <w:b/>
          <w:i w:val="0"/>
          <w:color w:val="000000"/>
          <w:sz w:val="36"/>
        </w:rPr>
        <w:t>CHAPTER – 6</w:t>
      </w:r>
    </w:p>
    <w:p>
      <w:pPr>
        <w:pStyle w:val="ChapterTitle"/>
      </w:pPr>
      <w:r>
        <w:rPr>
          <w:rFonts w:ascii="Times New Roman" w:hAnsi="Times New Roman" w:cs="Times New Roman" w:eastAsia="Times New Roman"/>
          <w:b/>
          <w:i w:val="0"/>
          <w:color w:val="000000"/>
          <w:sz w:val="36"/>
        </w:rPr>
        <w:t>RESULT AND TESTING</w:t>
      </w:r>
    </w:p>
    <w:p>
      <w:pPr>
        <w:pStyle w:val="SectionHeading"/>
      </w:pPr>
      <w:r>
        <w:rPr>
          <w:rFonts w:ascii="Times New Roman" w:hAnsi="Times New Roman" w:cs="Times New Roman" w:eastAsia="Times New Roman"/>
          <w:b/>
          <w:i w:val="0"/>
          <w:color w:val="000000"/>
          <w:sz w:val="28"/>
        </w:rPr>
        <w:t>6.1  Evaluation Approach</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repository contains no automated test suite: the server manifest defines a test script that reports the absence of tests, and the client manifest defines no test script and no test runner is configured. The evaluation reported in this chapter was therefore carried out manually, by a combination of five techniques that are described below, each of which produces evidence that can be inspected and repeated.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Source-level verification. The complete source of both applications was read and the declared behaviour of every route, controller, model and middleware was recorded. This establishes what the system contains, independently of whether it runs.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Static analysis. Every server file was submitted to the parser of the Node.js runtime, and the client was submitted to the TypeScript compiler in checking mode. This establishes whether the code is syntactically and structurally well formed.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Execution of the deployed client. The deployed application was loaded in a headless Chromium browser, the rendered text of each public route was extracted, screenshots were captured, the console output was recorded and the network failures were logged.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Interaction testing. The authentication form was submitted with the demonstration credentials that the deployed login page itself publishes, and the result was observed both in the interface and in the console output.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Local build execution. The development server was started from the repository and the served routes were requested, which exposed a failure of the client build that is described in Section 6.3.</w:t>
      </w:r>
    </w:p>
    <w:p>
      <w:pPr>
        <w:keepNext w:val="0"/>
        <w:spacing w:before="0" w:after="0" w:line="324" w:lineRule="auto"/>
        <w:ind w:firstLine="720"/>
        <w:jc w:val="both"/>
      </w:pPr>
      <w:r>
        <w:rPr>
          <w:rFonts w:ascii="Times New Roman" w:hAnsi="Times New Roman" w:cs="Times New Roman" w:eastAsia="Times New Roman"/>
          <w:b w:val="0"/>
          <w:i w:val="0"/>
          <w:color w:val="000000"/>
          <w:sz w:val="24"/>
        </w:rPr>
        <w:t>No claim of a pass rate, a response time, a concurrency figure or a user count is made in this chapter, because none of these was measured. Where a subsystem could not be exercised, the corresponding test case is marked Not tested, and the reason is given.</w:t>
      </w:r>
    </w:p>
    <w:p>
      <w:pPr>
        <w:pStyle w:val="SectionHeading"/>
      </w:pPr>
      <w:r>
        <w:rPr>
          <w:rFonts w:ascii="Times New Roman" w:hAnsi="Times New Roman" w:cs="Times New Roman" w:eastAsia="Times New Roman"/>
          <w:b/>
          <w:i w:val="0"/>
          <w:color w:val="000000"/>
          <w:sz w:val="28"/>
        </w:rPr>
        <w:t>6.2  Test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6.1: Environment used for the evaluation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1689"/>
        <w:gridCol w:w="7239"/>
      </w:tblGrid>
      <w:tr>
        <w:trPr>
          <w:tblHeader w:val="true"/>
        </w:trPr>
        <w:tc>
          <w:tcPr>
            <w:tcW w:type="dxa" w:w="168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Item</w:t>
            </w:r>
          </w:p>
        </w:tc>
        <w:tc>
          <w:tcPr>
            <w:tcW w:type="dxa" w:w="7239"/>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Configuration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Workstation</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Windows host with a 64-bit processor; Node.js runtime with the package manager of the distribution</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Browser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Chromium-based browser in headless mode for the automated capture, at a viewport of 1600 by 1000 pixels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Client</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Served from the deployed host; and separately from a local development server bound to a loopback port</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Server</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Inspected statically and submitted to the runtime parser; the server package was not started because the environment provides no database instance and no third-party credentials</w:t>
            </w:r>
          </w:p>
        </w:tc>
      </w:tr>
      <w:tr>
        <w:tc>
          <w:tcPr>
            <w:tcW w:type="dxa" w:w="1689"/>
          </w:tcPr>
          <w:p>
            <w:pPr>
              <w:spacing w:after="40" w:before="40" w:line="252" w:lineRule="auto"/>
              <w:ind w:firstLine="0"/>
              <w:jc w:val="center"/>
            </w:pPr>
            <w:r/>
            <w:r>
              <w:rPr>
                <w:rFonts w:ascii="Times New Roman" w:hAnsi="Times New Roman" w:cs="Times New Roman" w:eastAsia="Times New Roman"/>
                <w:b w:val="0"/>
                <w:i w:val="0"/>
                <w:color w:val="000000"/>
                <w:sz w:val="20"/>
              </w:rPr>
              <w:t>Database</w:t>
            </w:r>
          </w:p>
        </w:tc>
        <w:tc>
          <w:tcPr>
            <w:tcW w:type="dxa" w:w="7239"/>
          </w:tcPr>
          <w:p>
            <w:pPr>
              <w:spacing w:after="40" w:before="40" w:line="252" w:lineRule="auto"/>
              <w:ind w:firstLine="0"/>
              <w:jc w:val="left"/>
            </w:pPr>
            <w:r/>
            <w:r>
              <w:rPr>
                <w:rFonts w:ascii="Times New Roman" w:hAnsi="Times New Roman" w:cs="Times New Roman" w:eastAsia="Times New Roman"/>
                <w:b w:val="0"/>
                <w:i w:val="0"/>
                <w:color w:val="000000"/>
                <w:sz w:val="20"/>
              </w:rPr>
              <w:t>No live instance was available; persistence was verified at the level of the schema declarations and the query construction</w:t>
            </w:r>
          </w:p>
        </w:tc>
      </w:tr>
    </w:tbl>
    <w:p>
      <w:pPr>
        <w:spacing w:after="80"/>
      </w:pPr>
    </w:p>
    <w:p>
      <w:pPr>
        <w:pStyle w:val="SectionHeading"/>
      </w:pPr>
      <w:r>
        <w:rPr>
          <w:rFonts w:ascii="Times New Roman" w:hAnsi="Times New Roman" w:cs="Times New Roman" w:eastAsia="Times New Roman"/>
          <w:b/>
          <w:i w:val="0"/>
          <w:color w:val="000000"/>
          <w:sz w:val="28"/>
        </w:rPr>
        <w:t>6.3  Results of the Static Analysis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syntax check of the server was executed over every JavaScript file of the package with the parser of the runtime. The result is unambiguous: all 107 files parse without error, which confirms that the server package is syntactically complete and that no file contains an unresolved conflict marker.</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type check of the client, by contrast, fails. The compiler reports unresolved merge-conflict markers in twelve files of the client source: six components under the landing page, namely the call to action, the footer, the creator page, the disclaimer, the documentation page, the privacy policy and the terms of service, together with five duplicates of those components under the legal directory and one further duplicate. The conflict markers are the remnants of an unresolved version-control merge, and their presence means that the client cannot be type-checked, cannot be built and cannot be served by the development server. This was confirmed by observation: the local development server starts and reports that it is ready, but every route it serves returns the overlay of the bundler's parse error, naming the footer component and the call to action component.</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 is not confined to the failing files, because the failing files are imported by the landing page, which is imported by the application root, which is imported by the entry point. The consequence is that the entire client is unservable in its current state, including the routes that would otherwise be reachable without a session. This is the single most significant finding of the evaluation and it is the reason why the authenticated screens of the application could not be captured from a local build and were captured from the deployment instead.</w:t>
      </w:r>
    </w:p>
    <w:p>
      <w:pPr>
        <w:pStyle w:val="SectionHeading"/>
      </w:pPr>
      <w:r>
        <w:rPr>
          <w:rFonts w:ascii="Times New Roman" w:hAnsi="Times New Roman" w:cs="Times New Roman" w:eastAsia="Times New Roman"/>
          <w:b/>
          <w:i w:val="0"/>
          <w:color w:val="000000"/>
          <w:sz w:val="28"/>
        </w:rPr>
        <w:t>6.4  Test Cases and Observed Results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Table 6.2 records the test cases that were executed, the action performed, the expected and the observed result and the status. The status vocabulary is the following: Pass, when the observed result corresponded to the expected result; Fail, when it did not; Partially verified, when the observation established part of the expectation only; and Not tested, when the case could not be exercised in the available environment.</w:t>
      </w:r>
    </w:p>
    <w:p>
      <w:pPr>
        <w:keepNext/>
        <w:spacing w:before="200" w:after="80" w:line="240" w:lineRule="auto"/>
        <w:ind w:firstLine="0"/>
        <w:jc w:val="center"/>
      </w:pPr>
      <w:r>
        <w:rPr>
          <w:rFonts w:ascii="Times New Roman" w:hAnsi="Times New Roman" w:cs="Times New Roman" w:eastAsia="Times New Roman"/>
          <w:b/>
          <w:i w:val="0"/>
          <w:color w:val="000000"/>
          <w:sz w:val="22"/>
        </w:rPr>
        <w:t>Table 6.2: Test cases, expected and observed results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55"/>
        <w:gridCol w:w="1261"/>
        <w:gridCol w:w="1866"/>
        <w:gridCol w:w="1765"/>
        <w:gridCol w:w="2623"/>
        <w:gridCol w:w="857"/>
      </w:tblGrid>
      <w:tr>
        <w:trPr>
          <w:tblHeader w:val="true"/>
        </w:trPr>
        <w:tc>
          <w:tcPr>
            <w:tcW w:type="dxa" w:w="55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Test ID</w:t>
            </w:r>
          </w:p>
        </w:tc>
        <w:tc>
          <w:tcPr>
            <w:tcW w:type="dxa" w:w="126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Feature</w:t>
            </w:r>
          </w:p>
        </w:tc>
        <w:tc>
          <w:tcPr>
            <w:tcW w:type="dxa" w:w="186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Action or input</w:t>
            </w:r>
          </w:p>
        </w:tc>
        <w:tc>
          <w:tcPr>
            <w:tcW w:type="dxa" w:w="176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Expected result</w:t>
            </w:r>
          </w:p>
        </w:tc>
        <w:tc>
          <w:tcPr>
            <w:tcW w:type="dxa" w:w="2623"/>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Observed result</w:t>
            </w:r>
          </w:p>
        </w:tc>
        <w:tc>
          <w:tcPr>
            <w:tcW w:type="dxa" w:w="857"/>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Status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Public landing page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root path of the deployed host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marketing page renders with its feature grid and call to action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page rendered; the extracted text contains the hero heading, the statistics band and the feature sections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Sign-in screen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sign-in path and capture the rendered text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credential form, the Google sign-in control and the registration link are present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four elements were present in the extracted text; the screen also displays plain-text demonstration administrator credentials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Route protection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dashboard, quiz, coding, community, résumé, learning and chatbot paths of the deployed host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Each request is redirected to the sign-in page while no session is established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seven requests were redirected to the sign-in path and the rendered text was identical to the sign-in screen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the demonstration credentials published by the sign-in page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session is established and the dashboard is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request was rejected; the console recorded a response with an undefined user and reported the condition that the user was not found; the application remained on the sign-in page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Input validation on the sign-in form</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Observe the pattern attribute of the e-mail field</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address is validated against a well-formed pattern</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console reported that the pattern attribute is not a valid regular expression, because the expression is delimited by slashes inside the attribute value; the field therefore performs no client-side validation</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Local development server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Start the development server and request the root and the sign-in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application shell is served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server started and reported readiness, but both requests returned the bundler's parse-error overlay, caused by unresolved merge-conflict markers in two of the landing-page components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Client type checking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Run the TypeScript compiler in checking mode over the client project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type errors are reported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compiler reported syntax errors arising from unresolved merge-conflict markers in twelve files of the client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Server syntax integrity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Submit every server file to the runtime parser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file parses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All 107 files parsed without error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TC-09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Administration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administration feedback route group</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Every operation in the group requires an identity and the administrator role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listing, review-status and delete operations of the group</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Course authoring route protection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course write routes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identity is established and the role is checked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Only the role check is declared; because the role is read from the identity that the absent identity check would have populated, the routes answer 403 in all cases and the feature is inoperative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compiler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compiler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the endpoint is open to anonymous use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Unauthenticated access to the conversational route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declaration of the conversational route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route is protected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protection is declared on the conversational route, although the two generative routes in the same group are protected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Note liking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like route against the schema of the note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like is recorded and the count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route reads and writes a field that the schema does not declare and assigns to a virtual property that has no setter, so the handler reaches its catch block and returns 500</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Socket authentication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Trace the handshake middleware against the claims issued by the authentication paths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socket is bound to the authenticated user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handshake resolves the user from a claim that the issued tokens do not carry, the lookup raises a cast error and the connection is admitted with a null user</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Bearer token attachment on the client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storage key read by the request interceptor with the key written by the session provider</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interceptor attaches the token to every outgoing request</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two use different capitalisations of the same key, so the interceptor normally finds no session and no token is attached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leaderboard scoring</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scoring rule and the rating utility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Points are awarded by difficulty with a penalty for previous failures and the rating is recomputed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rule awards 100, 200 and 300 points for the three difficulty levels and adds twenty minutes per previous failure; the rating follows the Elo form with a constant of 32</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TC-17</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Contest submission flow</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Exercise a submission</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submission is graded and broadcast to the room</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contest could be exercised: the server package was not started and no compiler credential is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TC-18</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Quiz attempt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Answer and submit a quiz</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attempt is scored and stored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No attempt could be exercised: the server package was not started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TC-19</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Skill assessment generation</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a generated assessment</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Items are generated and stored, and the evaluation returns a score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generation path requires the model credential and a database; neither was available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TC-20</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Conversational assistant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Send a message to the Study Buddy</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reply is returned and rendered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path requires the provider credential and a database; neither was available. The deployed application returned an authentication failure before reaching this module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TC-21</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export</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Export a completed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PDF document is produced in the browser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export is implemented entirely in the browser and depends on a document library rather than on the server; the component was inspected but the export was not executed in the available environment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TC-22</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Résumé scanner</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Scan a résumé</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A coverage report is returned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scan requires the server; the deterministic keyword comparison itself was verified by inspection of the three keyword utilities</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Not tested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TC-23</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Placement statistics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placement endpoints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Statistics are returned from a database</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endpoints return a constant object declared inside the route file; no persistence is involved</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TC-24</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Documentation pages</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Request the documentation and contributor pages</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Both pages render</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Both rendered and their text was extracted, as shown in Figures 5.4 and 5.5</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Pass</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TC-25</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Interface documentation accuracy</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Compare the published endpoint list with the mounted route table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to the mounted routes</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The published list corresponds in substance, but omits the two duplicated mounts, the unauthenticated groups and the separate document-generation service on the second port</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Partially verified</w:t>
            </w:r>
          </w:p>
        </w:tc>
      </w:tr>
      <w:tr>
        <w:tc>
          <w:tcPr>
            <w:tcW w:type="dxa" w:w="555"/>
          </w:tcPr>
          <w:p>
            <w:pPr>
              <w:spacing w:after="40" w:before="40" w:line="252" w:lineRule="auto"/>
              <w:ind w:firstLine="0"/>
              <w:jc w:val="center"/>
            </w:pPr>
            <w:r/>
            <w:r>
              <w:rPr>
                <w:rFonts w:ascii="Times New Roman" w:hAnsi="Times New Roman" w:cs="Times New Roman" w:eastAsia="Times New Roman"/>
                <w:b w:val="0"/>
                <w:i w:val="0"/>
                <w:color w:val="000000"/>
                <w:sz w:val="20"/>
              </w:rPr>
              <w:t>TC-26</w:t>
            </w:r>
          </w:p>
        </w:tc>
        <w:tc>
          <w:tcPr>
            <w:tcW w:type="dxa" w:w="1261"/>
          </w:tcPr>
          <w:p>
            <w:pPr>
              <w:spacing w:after="40" w:before="40" w:line="252" w:lineRule="auto"/>
              <w:ind w:firstLine="0"/>
              <w:jc w:val="left"/>
            </w:pPr>
            <w:r/>
            <w:r>
              <w:rPr>
                <w:rFonts w:ascii="Times New Roman" w:hAnsi="Times New Roman" w:cs="Times New Roman" w:eastAsia="Times New Roman"/>
                <w:b w:val="0"/>
                <w:i w:val="0"/>
                <w:color w:val="000000"/>
                <w:sz w:val="20"/>
              </w:rPr>
              <w:t>Credential exposure</w:t>
            </w:r>
          </w:p>
        </w:tc>
        <w:tc>
          <w:tcPr>
            <w:tcW w:type="dxa" w:w="1866"/>
          </w:tcPr>
          <w:p>
            <w:pPr>
              <w:spacing w:after="40" w:before="40" w:line="252" w:lineRule="auto"/>
              <w:ind w:firstLine="0"/>
              <w:jc w:val="left"/>
            </w:pPr>
            <w:r/>
            <w:r>
              <w:rPr>
                <w:rFonts w:ascii="Times New Roman" w:hAnsi="Times New Roman" w:cs="Times New Roman" w:eastAsia="Times New Roman"/>
                <w:b w:val="0"/>
                <w:i w:val="0"/>
                <w:color w:val="000000"/>
                <w:sz w:val="20"/>
              </w:rPr>
              <w:t>Inspect the client build configuration and the server source</w:t>
            </w:r>
          </w:p>
        </w:tc>
        <w:tc>
          <w:tcPr>
            <w:tcW w:type="dxa" w:w="1765"/>
          </w:tcPr>
          <w:p>
            <w:pPr>
              <w:spacing w:after="40" w:before="40" w:line="252" w:lineRule="auto"/>
              <w:ind w:firstLine="0"/>
              <w:jc w:val="left"/>
            </w:pPr>
            <w:r/>
            <w:r>
              <w:rPr>
                <w:rFonts w:ascii="Times New Roman" w:hAnsi="Times New Roman" w:cs="Times New Roman" w:eastAsia="Times New Roman"/>
                <w:b w:val="0"/>
                <w:i w:val="0"/>
                <w:color w:val="000000"/>
                <w:sz w:val="20"/>
              </w:rPr>
              <w:t>No provider credential is delivered to the browser and no secret is committed</w:t>
            </w:r>
          </w:p>
        </w:tc>
        <w:tc>
          <w:tcPr>
            <w:tcW w:type="dxa" w:w="2623"/>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 by the build tool and one credential and one signing secret appear as literals in the source</w:t>
            </w:r>
          </w:p>
        </w:tc>
        <w:tc>
          <w:tcPr>
            <w:tcW w:type="dxa" w:w="857"/>
          </w:tcPr>
          <w:p>
            <w:pPr>
              <w:spacing w:after="40" w:before="40" w:line="252" w:lineRule="auto"/>
              <w:ind w:firstLine="0"/>
              <w:jc w:val="left"/>
            </w:pPr>
            <w:r/>
            <w:r>
              <w:rPr>
                <w:rFonts w:ascii="Times New Roman" w:hAnsi="Times New Roman" w:cs="Times New Roman" w:eastAsia="Times New Roman"/>
                <w:b w:val="0"/>
                <w:i w:val="0"/>
                <w:color w:val="000000"/>
                <w:sz w:val="20"/>
              </w:rPr>
              <w:t>Fail</w:t>
            </w:r>
          </w:p>
        </w:tc>
      </w:tr>
    </w:tbl>
    <w:p>
      <w:pPr>
        <w:spacing w:after="80"/>
      </w:pPr>
    </w:p>
    <w:p>
      <w:pPr>
        <w:keepNext w:val="0"/>
        <w:spacing w:before="0" w:after="0" w:line="324" w:lineRule="auto"/>
        <w:ind w:firstLine="720"/>
        <w:jc w:val="both"/>
      </w:pPr>
      <w:r>
        <w:rPr>
          <w:rFonts w:ascii="Times New Roman" w:hAnsi="Times New Roman" w:cs="Times New Roman" w:eastAsia="Times New Roman"/>
          <w:b w:val="0"/>
          <w:i w:val="0"/>
          <w:color w:val="000000"/>
          <w:sz w:val="24"/>
        </w:rPr>
        <w:t>The summary of the execution is as follows. Six cases passed, of which four are checks on the public deployment, one is the integrity check of the server source and one is the correctness of the contest scoring rule as verified against the implementation. Thirteen cases failed, and the failures cluster in four families: unresolved merge-conflict markers in the client source, protection that is declared incorrectly or not at all on the server, drift between a route and the schema it writes to, and secrets that are committed to the repository or delivered to the browser. Five cases could not be exercised and are marked as not tested, and two were verified in part. No case is reported as passed on the basis of the presence of a menu entry or of a screen.</w:t>
      </w:r>
    </w:p>
    <w:p>
      <w:pPr>
        <w:pStyle w:val="SectionHeading"/>
      </w:pPr>
      <w:r>
        <w:rPr>
          <w:rFonts w:ascii="Times New Roman" w:hAnsi="Times New Roman" w:cs="Times New Roman" w:eastAsia="Times New Roman"/>
          <w:b/>
          <w:i w:val="0"/>
          <w:color w:val="000000"/>
          <w:sz w:val="28"/>
        </w:rPr>
        <w:t>6.5  Defects and Security Findings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defects discovered during the evaluation are consolidated below with a severity and a proposed correction. They are reported in full because a project report that conceals the faults of the system it describes is of little value.</w:t>
      </w:r>
    </w:p>
    <w:p>
      <w:pPr>
        <w:keepNext/>
        <w:spacing w:before="200" w:after="80" w:line="240" w:lineRule="auto"/>
        <w:ind w:firstLine="0"/>
        <w:jc w:val="center"/>
      </w:pPr>
      <w:r>
        <w:rPr>
          <w:rFonts w:ascii="Times New Roman" w:hAnsi="Times New Roman" w:cs="Times New Roman" w:eastAsia="Times New Roman"/>
          <w:b/>
          <w:i w:val="0"/>
          <w:color w:val="000000"/>
          <w:sz w:val="22"/>
        </w:rPr>
        <w:t>Table 6.3: Defects and security findings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90" w:type="dxa"/>
          <w:bottom w:w="60" w:type="dxa"/>
          <w:right w:w="90" w:type="dxa"/>
        </w:tblCellMar>
        <w:tblLook w:firstColumn="1" w:firstRow="1" w:lastColumn="0" w:lastRow="0" w:noHBand="0" w:noVBand="1" w:val="04A0"/>
      </w:tblPr>
      <w:tblGrid>
        <w:gridCol w:w="525"/>
        <w:gridCol w:w="2206"/>
        <w:gridCol w:w="2521"/>
        <w:gridCol w:w="2731"/>
        <w:gridCol w:w="945"/>
      </w:tblGrid>
      <w:tr>
        <w:trPr>
          <w:tblHeader w:val="true"/>
        </w:trPr>
        <w:tc>
          <w:tcPr>
            <w:tcW w:type="dxa" w:w="52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Ref</w:t>
            </w:r>
          </w:p>
        </w:tc>
        <w:tc>
          <w:tcPr>
            <w:tcW w:type="dxa" w:w="2206"/>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Finding</w:t>
            </w:r>
          </w:p>
        </w:tc>
        <w:tc>
          <w:tcPr>
            <w:tcW w:type="dxa" w:w="252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Effect</w:t>
            </w:r>
          </w:p>
        </w:tc>
        <w:tc>
          <w:tcPr>
            <w:tcW w:type="dxa" w:w="2731"/>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Proposed correction</w:t>
            </w:r>
          </w:p>
        </w:tc>
        <w:tc>
          <w:tcPr>
            <w:tcW w:type="dxa" w:w="945"/>
            <w:shd w:val="clear" w:color="auto" w:fill="E8E8E8"/>
          </w:tcPr>
          <w:p>
            <w:pPr>
              <w:spacing w:after="40" w:before="40" w:line="240" w:lineRule="auto"/>
              <w:ind w:firstLine="0"/>
              <w:jc w:val="center"/>
            </w:pPr>
            <w:r/>
            <w:r>
              <w:rPr>
                <w:rFonts w:ascii="Times New Roman" w:hAnsi="Times New Roman" w:cs="Times New Roman" w:eastAsia="Times New Roman"/>
                <w:b/>
                <w:i w:val="0"/>
                <w:color w:val="000000"/>
                <w:sz w:val="21"/>
              </w:rPr>
              <w:t>Severity</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Twelve client files contain unresolved merge-conflict markers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client cannot be built, type-checked or served; the application is entirely unservable from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merges, keep one copy of each duplicated legal component and remove the other</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administrator feedback route group declares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visitor can list, modify and delete the feedback of all users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and administrator middleware to the group</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conversational, compiler and scanner routes declare no protection</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provider credentials are consumed on behalf of anonymous callers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and add a per-caller rate limit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Two provider credentials are inlined into the client bundle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Every visitor can extract and use the credentials at the provider's expense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Proxy the calls through the server, as the conversational path already does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A news service credential and a signing secret are committed to the source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credentials are disclosed with every clone of the repository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Move them to the environment, rotate them, and purge them from the history</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request interceptor and the session provider use different storage keys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bearer token is not attached to the outgoing requests, so the authenticated features of the client fail against a server that requires 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Use one constant for the key in both places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Critical</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socket handshake resolves the user from a claim that the issued tokens do not carry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real-time channel carries no authenticated identity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Resolve the user from the same set of claim names that the REST middleware accepts, and reject the handshake when the token is invalid</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High</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like route and the note schema disagree on the field names, and the virtual count has no setter</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like operation always fails with a 500</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Declare the field in the schema, or change the route to use the declared field and a setter for the virtual</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D-09</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course write routes apply the role check without the identity check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course authoring feature is inoperative and returns 403</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identity middleware before the role middleware</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D-10</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system-log creation route requires an identity but not the administrator role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Any signed-in user may write to the audit trail</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Apply the administrator check</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D-11</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session cookie declares the secure attribute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session cannot be established over plain HTTP, which breaks local development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Derive the attribute from the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D-12</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application trusts forwarded protocol headers unconditionally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address-based logic of the rate limiter can be defeated behind an uncooperative proxy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Trust the proxy only in a deployment environment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D-13</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client is not code-split and the route table imports every screen statically</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initial bundle carries the whole application, including three components of more than fifty kilobytes</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Load the routed screens lazily and split the vendor libraries into separate chunks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D-14</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No error boundary is declared in the client</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A rendering exception leaves the application without an interface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Add an error boundary at the shell and at the administration branch</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D-15</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validator module is not attached to any route</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request bodies are accepted without structural validation</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Attach the validation middleware to the mutating routes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D-16</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Dead code: an unrouted placement-statistics page of about fifty-three kilobytes, an unrouted task board, six duplicated legal components, an empty utility file, an empty schema file and three orphan schemas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size of the code base and the difficulty of reviewing it are increased without benefit</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dead code or route it</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D-17</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The dashboard seeds a demonstration user and the recent-attempts panel is mapped from a commented-out block</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statistics row shows demonstration values and the attempts panel is always empty</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Bind the panel to the session state and restore the mapping</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Medium</w:t>
            </w:r>
          </w:p>
        </w:tc>
      </w:tr>
      <w:tr>
        <w:tc>
          <w:tcPr>
            <w:tcW w:type="dxa" w:w="525"/>
          </w:tcPr>
          <w:p>
            <w:pPr>
              <w:spacing w:after="40" w:before="40" w:line="252" w:lineRule="auto"/>
              <w:ind w:firstLine="0"/>
              <w:jc w:val="center"/>
            </w:pPr>
            <w:r/>
            <w:r>
              <w:rPr>
                <w:rFonts w:ascii="Times New Roman" w:hAnsi="Times New Roman" w:cs="Times New Roman" w:eastAsia="Times New Roman"/>
                <w:b w:val="0"/>
                <w:i w:val="0"/>
                <w:color w:val="000000"/>
                <w:sz w:val="20"/>
              </w:rPr>
              <w:t>D-18</w:t>
            </w:r>
          </w:p>
        </w:tc>
        <w:tc>
          <w:tcPr>
            <w:tcW w:type="dxa" w:w="2206"/>
          </w:tcPr>
          <w:p>
            <w:pPr>
              <w:spacing w:after="40" w:before="40" w:line="252" w:lineRule="auto"/>
              <w:ind w:firstLine="0"/>
              <w:jc w:val="left"/>
            </w:pPr>
            <w:r/>
            <w:r>
              <w:rPr>
                <w:rFonts w:ascii="Times New Roman" w:hAnsi="Times New Roman" w:cs="Times New Roman" w:eastAsia="Times New Roman"/>
                <w:b w:val="0"/>
                <w:i w:val="0"/>
                <w:color w:val="000000"/>
                <w:sz w:val="20"/>
              </w:rPr>
              <w:t>Duplicate mounts of the assessment and conversational route groups</w:t>
            </w:r>
          </w:p>
        </w:tc>
        <w:tc>
          <w:tcPr>
            <w:tcW w:type="dxa" w:w="2521"/>
          </w:tcPr>
          <w:p>
            <w:pPr>
              <w:spacing w:after="40" w:before="40" w:line="252" w:lineRule="auto"/>
              <w:ind w:firstLine="0"/>
              <w:jc w:val="left"/>
            </w:pPr>
            <w:r/>
            <w:r>
              <w:rPr>
                <w:rFonts w:ascii="Times New Roman" w:hAnsi="Times New Roman" w:cs="Times New Roman" w:eastAsia="Times New Roman"/>
                <w:b w:val="0"/>
                <w:i w:val="0"/>
                <w:color w:val="000000"/>
                <w:sz w:val="20"/>
              </w:rPr>
              <w:t>The second prefix is unreachable and the documented interface is wider than the effective one</w:t>
            </w:r>
          </w:p>
        </w:tc>
        <w:tc>
          <w:tcPr>
            <w:tcW w:type="dxa" w:w="2731"/>
          </w:tcPr>
          <w:p>
            <w:pPr>
              <w:spacing w:after="40" w:before="40" w:line="252" w:lineRule="auto"/>
              <w:ind w:firstLine="0"/>
              <w:jc w:val="left"/>
            </w:pPr>
            <w:r/>
            <w:r>
              <w:rPr>
                <w:rFonts w:ascii="Times New Roman" w:hAnsi="Times New Roman" w:cs="Times New Roman" w:eastAsia="Times New Roman"/>
                <w:b w:val="0"/>
                <w:i w:val="0"/>
                <w:color w:val="000000"/>
                <w:sz w:val="20"/>
              </w:rPr>
              <w:t>Remove the duplicate mounts</w:t>
            </w:r>
          </w:p>
        </w:tc>
        <w:tc>
          <w:tcPr>
            <w:tcW w:type="dxa" w:w="945"/>
          </w:tcPr>
          <w:p>
            <w:pPr>
              <w:spacing w:after="40" w:before="40" w:line="252" w:lineRule="auto"/>
              <w:ind w:firstLine="0"/>
              <w:jc w:val="left"/>
            </w:pPr>
            <w:r/>
            <w:r>
              <w:rPr>
                <w:rFonts w:ascii="Times New Roman" w:hAnsi="Times New Roman" w:cs="Times New Roman" w:eastAsia="Times New Roman"/>
                <w:b w:val="0"/>
                <w:i w:val="0"/>
                <w:color w:val="000000"/>
                <w:sz w:val="20"/>
              </w:rPr>
              <w:t>Low</w:t>
            </w:r>
          </w:p>
        </w:tc>
      </w:tr>
    </w:tbl>
    <w:p>
      <w:pPr>
        <w:spacing w:after="80"/>
      </w:pPr>
    </w:p>
    <w:p>
      <w:pPr>
        <w:pStyle w:val="SectionHeading"/>
      </w:pPr>
      <w:r>
        <w:rPr>
          <w:rFonts w:ascii="Times New Roman" w:hAnsi="Times New Roman" w:cs="Times New Roman" w:eastAsia="Times New Roman"/>
          <w:b/>
          <w:i w:val="0"/>
          <w:color w:val="000000"/>
          <w:sz w:val="28"/>
        </w:rPr>
        <w:t>6.6  Limitations of the Evaluation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database instance was available, so the server package was not started and no endpoint that requires persistence was exercised. The server was therefore verified by inspection and by syntax analysis rather than by execution.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third-party credentials were available, so no inference, compiler, video or news integration was exercised end to end.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client could not be built or served from the repository because of the merge-conflict markers, so all client evidence was obtained from the deployed host, which necessarily represents the last successful build rather than the current source.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The authenticated screens of the application could not be captured, because the demonstration credentials published by the deployed sign-in page are not accepted by the backend that the deployment is configured to use. The evidence supplied with this project, which shows a dashboard with populated statistics panels and with errors in some of the data panels, is consistent with the code-level findings of Sections 6.3 and 6.5, but it could not be reproduced independently during this evaluation, and no claim is made here that any dashboard panel was observed to work.</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No performance measurement was performed, and no figure for response time, throughput, concurrency or availability is asserted anywhere in this report.</w:t>
      </w:r>
    </w:p>
    <w:p>
      <w:pPr>
        <w:pStyle w:val="SectionHeading"/>
      </w:pPr>
      <w:r>
        <w:rPr>
          <w:rFonts w:ascii="Times New Roman" w:hAnsi="Times New Roman" w:cs="Times New Roman" w:eastAsia="Times New Roman"/>
          <w:b/>
          <w:i w:val="0"/>
          <w:color w:val="000000"/>
          <w:sz w:val="28"/>
        </w:rPr>
        <w:t>6.7  Discussion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supports three conclusions. The first is that the system is substantially complete as a design and as an implementation: the module set is broad, the layering is consistent, the data model is coherent, the external integrations are implemented against real interfaces rather than mocked, and the server code is of production quality in its structure and its error handling.</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second is that the principal obstacles to the system's operation are configurational rather than architectural. Of the eighteen findings, the critical and high-severity ones are a merge that was never completed, a mismatch between two storage keys, four route groups that omit the protection their data requires, a token claim that the real-time layer does not recognise, and three credentials that are exposed. Each of these is a matter of a few lines, and none of them requires a change to the architecture of Chapter 4.</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third is that the project's most ambitious claims are the least supported by the evidence. The platform's value proposition rests on the consolidation of learning, assessment and career preparation, and three of the modules that complete that proposition, namely the placement statistics, the dashboard aggregations and the cover-letter workflow, are served by static or client-local data. The honest statement of the result is therefore that Elevora AI is a well-structured platform with a working skeleton and a substantial set of implemented services, which requires a consolidation pass over its configuration and its credentials before it can be presented as the unified environment that the problem statement of Section 1.2 describes.</w:t>
      </w:r>
    </w:p>
    <w:p>
      <w:r>
        <w:br w:type="page"/>
      </w:r>
    </w:p>
    <w:p>
      <w:pPr>
        <w:pStyle w:val="ChapterTitle"/>
        <w:spacing w:after="320"/>
      </w:pPr>
      <w:r>
        <w:rPr>
          <w:rFonts w:ascii="Times New Roman" w:hAnsi="Times New Roman" w:cs="Times New Roman" w:eastAsia="Times New Roman"/>
          <w:b/>
          <w:i w:val="0"/>
          <w:color w:val="000000"/>
          <w:sz w:val="36"/>
        </w:rPr>
        <w:t>CONCLUSION</w:t>
      </w:r>
    </w:p>
    <w:p>
      <w:pPr>
        <w:keepNext w:val="0"/>
        <w:spacing w:before="0" w:after="0" w:line="324" w:lineRule="auto"/>
        <w:ind w:firstLine="720"/>
        <w:jc w:val="both"/>
      </w:pPr>
      <w:r>
        <w:rPr>
          <w:rFonts w:ascii="Times New Roman" w:hAnsi="Times New Roman" w:cs="Times New Roman" w:eastAsia="Times New Roman"/>
          <w:b w:val="0"/>
          <w:i w:val="0"/>
          <w:color w:val="000000"/>
          <w:sz w:val="24"/>
        </w:rPr>
        <w:t>This report has described the design, the implementation and the evaluation of Elevora AI, a full-stack web application that consolidates structured learning, timed assessment, code practice, documentation and career preparation behind a single authenticated and role-based interface. The work began with the observation that the technology student is obliged to assemble a learning workflow from separate services, and that no component of that workflow can report on the learner's overall progress because each of them holds only its own record.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implemented system meets that observation with a substantial engineering response. The client is a single-page application of nineteen learner modules and nine administration modules, written in TypeScript and built with Vite, with an embedded code workspace, a conversational assistant, a résumé builder with an applicant-tracking-system scanner and a cover-letter generator. The server is an Express application of thirty route modules, twenty-four controllers and thirty-two MongoDB schemas, offering JWT authentication with e-mail one-time-password verification and Google sign-in, role-based authorisation, four learning-track route groups, quiz authoring and attempts, generative assessment with a stored evaluation, community moderation, a note system with file attachments, video progress, notifications, an administration console with analytics and an audit trail, and a contest subsystem that executes submitted code, applies a difficulty-based scoring rule with penalties, recomputes an Elo rating and broadcasts live updates over a socket channel. Three language models are integrated, each for the task to which it is best suited.</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evaluation was deliberately adversarial towards the project's own claims. The server source parses completely, but twelve files of the client contain unresolved merge-conflict markers, so that the client cannot currently be built or served from the repository. Four route groups on the server omit the access control their data requires, one of which permits anonymous deletion of user feedback. The real-time channel admits connections without establishing an identity. The client and the server refer to the session under two different storage keys, so that authenticated requests are sent without a token. Two provider credentials are compiled into the browser bundle and two more appear as literals in the source. The practice workspace addresses the compiler at a literal local address and therefore cannot work in a deployment. The dashboard seeds a demonstration user, and the placement module is served from a constant. The cover-letter module has no server counterpart, and the payment facility that the project synopsis describes has no server implementation at all. The authenticated screens of the application could not be captured, because the deployed build rejects the demonstration credentials that its own sign-in page publishes.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These findings are reported rather than smoothed away, because the value of the project is as a working piece of software that others are invited to contribute to, and a report that concealed the faults would misrepresent both the software and the community that inherits it. The corrections required are enumerated in Table 6.3 and are, with two exceptions, a matter of tens of lines rather than of redesign.</w:t>
      </w:r>
    </w:p>
    <w:p>
      <w:pPr>
        <w:pStyle w:val="SectionHeading"/>
      </w:pPr>
      <w:r>
        <w:rPr>
          <w:rFonts w:ascii="Times New Roman" w:hAnsi="Times New Roman" w:cs="Times New Roman" w:eastAsia="Times New Roman"/>
          <w:b/>
          <w:i w:val="0"/>
          <w:color w:val="000000"/>
          <w:sz w:val="28"/>
        </w:rPr>
        <w:t>Future Enhancements</w:t>
      </w:r>
    </w:p>
    <w:p>
      <w:pPr>
        <w:keepNext w:val="0"/>
        <w:spacing w:before="0" w:after="0" w:line="324" w:lineRule="auto"/>
        <w:ind w:firstLine="720"/>
        <w:jc w:val="both"/>
      </w:pPr>
      <w:r>
        <w:rPr>
          <w:rFonts w:ascii="Times New Roman" w:hAnsi="Times New Roman" w:cs="Times New Roman" w:eastAsia="Times New Roman"/>
          <w:b w:val="0"/>
          <w:i w:val="0"/>
          <w:color w:val="000000"/>
          <w:sz w:val="24"/>
        </w:rPr>
        <w:t>The following improvements follow directly from the gaps identified during the inspection and the evaluation. They are listed in the order in which they would most usefully be undertaken.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Resolve the outstanding merges in the client source, remove the duplicated legal components, and restore a clean build so that the type check, the lint check and the production bundle all pass.</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a single source of truth for the session storage key and for the token claim names, so that the client, the route middleware and the socket handshake agree, and introduce an automated test that asserts the agreement.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Complete the access control matrix: apply the identity and role middleware to every route group that lacks it, add the ownership test to the note, progress, review and attempt resources, and record the resulting matrix as a specification artefact.</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Move all provider access behind the server, including the two calls that are currently made from the browser, remove the committed credentials from the source, and rotate the keys that were exposed.</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Replace the static placement data, the dashboard seed values and the mock course catalogue with persisted records, so that the three modules that complete the platform's central proposition rest on the database.</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Implement the cover-letter workflow on the server, with storage, retrieval, a plain variant for machine parsing and an assessment of the letter against the target role, so that the two career-document modules become symmetric.</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Either implement a server-side subscription with the payment provider, or remove the subscription screens, so that the interface does not advertise a facility that the platform cannot honour.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Introduce code splitting for the routed screens and an error boundary at the application shell, which together address the two client defects that most affect the experience of a first-time visitor.</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Establish an automated test suite, beginning with the route middleware and the utility functions, which are the parts of the system that the inspection identified as most defective and which are the cheapest to test in isolation.</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Extend the assessment engine with item review and distractor analysis, and record the agreement between the generated evaluation and a human evaluation on a sample of attempts, so that the reported skill levels can be interpreted with an understanding of their reliability.</w:t>
      </w:r>
    </w:p>
    <w:p>
      <w:pPr>
        <w:spacing w:after="80" w:line="336" w:lineRule="auto"/>
        <w:ind w:left="720" w:hanging="360"/>
        <w:jc w:val="both"/>
      </w:pP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val="0"/>
          <w:color w:val="000000"/>
          <w:sz w:val="24"/>
        </w:rPr>
        <w:t>Add an explicit deployment guide that records the required environment variables, the proxy rule that the client and the server require in order to share an origin, and the order in which the two applications must be brought up, since the absence of such a document is the likely origin of several of the defects recorded in Chapter 6.</w:t>
      </w:r>
    </w:p>
    <w:p>
      <w:r>
        <w:br w:type="page"/>
      </w:r>
    </w:p>
    <w:p>
      <w:pPr>
        <w:pStyle w:val="ChapterTitle"/>
        <w:spacing w:after="320"/>
      </w:pPr>
      <w:r>
        <w:rPr>
          <w:rFonts w:ascii="Times New Roman" w:hAnsi="Times New Roman" w:cs="Times New Roman" w:eastAsia="Times New Roman"/>
          <w:b/>
          <w:i w:val="0"/>
          <w:color w:val="000000"/>
          <w:sz w:val="36"/>
        </w:rPr>
        <w:t>REFERENCES</w:t>
      </w:r>
    </w:p>
    <w:p>
      <w:pPr>
        <w:spacing w:after="120" w:line="300" w:lineRule="auto"/>
        <w:ind w:left="576" w:hanging="576"/>
        <w:jc w:val="both"/>
      </w:pPr>
      <w:r>
        <w:rPr>
          <w:rFonts w:ascii="Times New Roman" w:hAnsi="Times New Roman" w:cs="Times New Roman" w:eastAsia="Times New Roman"/>
          <w:b/>
          <w:i w:val="0"/>
          <w:color w:val="000000"/>
          <w:sz w:val="22"/>
        </w:rPr>
        <w:t xml:space="preserve">[1] </w:t>
      </w:r>
      <w:r>
        <w:rPr>
          <w:rFonts w:ascii="Times New Roman" w:hAnsi="Times New Roman" w:cs="Times New Roman" w:eastAsia="Times New Roman"/>
          <w:b w:val="0"/>
          <w:i/>
          <w:color w:val="000000"/>
          <w:sz w:val="22"/>
        </w:rPr>
        <w:t xml:space="preserve">Richardson, L. and </w:t>
      </w:r>
      <w:r>
        <w:rPr>
          <w:rFonts w:ascii="Times New Roman" w:hAnsi="Times New Roman" w:cs="Times New Roman" w:eastAsia="Times New Roman"/>
          <w:b w:val="0"/>
          <w:i w:val="0"/>
          <w:color w:val="000000"/>
          <w:sz w:val="22"/>
        </w:rPr>
        <w:t xml:space="preserve">"Fielding, R.", </w:t>
      </w:r>
      <w:r>
        <w:rPr>
          <w:rFonts w:ascii="Times New Roman" w:hAnsi="Times New Roman" w:cs="Times New Roman" w:eastAsia="Times New Roman"/>
          <w:b w:val="0"/>
          <w:i w:val="0"/>
          <w:color w:val="000000"/>
          <w:sz w:val="22"/>
        </w:rPr>
        <w:t>"REST" Web Architecture Dissertation, Chapter 5: Resource-Oriented Architecture, University of California, Irvine, 2000. Available at: https://www.ics.uci.edu/~fielding/pubs/dissertation/rest_arch_style.htm</w:t>
      </w:r>
    </w:p>
    <w:p>
      <w:pPr>
        <w:spacing w:after="120" w:line="300" w:lineRule="auto"/>
        <w:ind w:left="576" w:hanging="576"/>
        <w:jc w:val="both"/>
      </w:pPr>
      <w:r>
        <w:rPr>
          <w:rFonts w:ascii="Times New Roman" w:hAnsi="Times New Roman" w:cs="Times New Roman" w:eastAsia="Times New Roman"/>
          <w:b/>
          <w:i w:val="0"/>
          <w:color w:val="000000"/>
          <w:sz w:val="22"/>
        </w:rPr>
        <w:t xml:space="preserve">[2] </w:t>
      </w:r>
      <w:r>
        <w:rPr>
          <w:rFonts w:ascii="Times New Roman" w:hAnsi="Times New Roman" w:cs="Times New Roman" w:eastAsia="Times New Roman"/>
          <w:b w:val="0"/>
          <w:i/>
          <w:color w:val="000000"/>
          <w:sz w:val="22"/>
        </w:rPr>
        <w:t xml:space="preserve">Brown, E. </w:t>
      </w:r>
      <w:r>
        <w:rPr>
          <w:rFonts w:ascii="Times New Roman" w:hAnsi="Times New Roman" w:cs="Times New Roman" w:eastAsia="Times New Roman"/>
          <w:b w:val="0"/>
          <w:i w:val="0"/>
          <w:color w:val="000000"/>
          <w:sz w:val="22"/>
        </w:rPr>
        <w:t xml:space="preserve">"Getting Started with Django 5.0", </w:t>
      </w:r>
      <w:r>
        <w:rPr>
          <w:rFonts w:ascii="Times New Roman" w:hAnsi="Times New Roman" w:cs="Times New Roman" w:eastAsia="Times New Roman"/>
          <w:b w:val="0"/>
          <w:i w:val="0"/>
          <w:color w:val="000000"/>
          <w:sz w:val="22"/>
        </w:rPr>
        <w:t>O'Reilly Media, 2024. Consulted for the repository, template and object-relational mapping conventions compared in Section 2.2. Available at: https://docs.djangoproject.com/en/5.0/</w:t>
      </w:r>
    </w:p>
    <w:p>
      <w:pPr>
        <w:spacing w:after="120" w:line="300" w:lineRule="auto"/>
        <w:ind w:left="576" w:hanging="576"/>
        <w:jc w:val="both"/>
      </w:pPr>
      <w:r>
        <w:rPr>
          <w:rFonts w:ascii="Times New Roman" w:hAnsi="Times New Roman" w:cs="Times New Roman" w:eastAsia="Times New Roman"/>
          <w:b/>
          <w:i w:val="0"/>
          <w:color w:val="000000"/>
          <w:sz w:val="22"/>
        </w:rPr>
        <w:t xml:space="preserve">[3]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"Express — Node.js Web Application Framework, Version 5 documentation.", </w:t>
      </w:r>
      <w:r>
        <w:rPr>
          <w:rFonts w:ascii="Times New Roman" w:hAnsi="Times New Roman" w:cs="Times New Roman" w:eastAsia="Times New Roman"/>
          <w:b w:val="0"/>
          <w:i w:val="0"/>
          <w:color w:val="000000"/>
          <w:sz w:val="22"/>
        </w:rPr>
        <w:t>Available at: https://expressjs.com/en/guide/routing.html</w:t>
      </w:r>
    </w:p>
    <w:p>
      <w:pPr>
        <w:spacing w:after="120" w:line="300" w:lineRule="auto"/>
        <w:ind w:left="576" w:hanging="576"/>
        <w:jc w:val="both"/>
      </w:pPr>
      <w:r>
        <w:rPr>
          <w:rFonts w:ascii="Times New Roman" w:hAnsi="Times New Roman" w:cs="Times New Roman" w:eastAsia="Times New Roman"/>
          <w:b/>
          <w:i w:val="0"/>
          <w:color w:val="000000"/>
          <w:sz w:val="22"/>
        </w:rPr>
        <w:t xml:space="preserve">[4] </w:t>
      </w:r>
      <w:r>
        <w:rPr>
          <w:rFonts w:ascii="Times New Roman" w:hAnsi="Times New Roman" w:cs="Times New Roman" w:eastAsia="Times New Roman"/>
          <w:b w:val="0"/>
          <w:i/>
          <w:color w:val="000000"/>
          <w:sz w:val="22"/>
        </w:rPr>
        <w:t xml:space="preserve">MongoDB Inc. </w:t>
      </w:r>
      <w:r>
        <w:rPr>
          <w:rFonts w:ascii="Times New Roman" w:hAnsi="Times New Roman" w:cs="Times New Roman" w:eastAsia="Times New Roman"/>
          <w:b w:val="0"/>
          <w:i w:val="0"/>
          <w:color w:val="000000"/>
          <w:sz w:val="22"/>
        </w:rPr>
        <w:t xml:space="preserve">"Mongoose 8.x Documentation — Schemas, Models and Middleware.", </w:t>
      </w:r>
      <w:r>
        <w:rPr>
          <w:rFonts w:ascii="Times New Roman" w:hAnsi="Times New Roman" w:cs="Times New Roman" w:eastAsia="Times New Roman"/>
          <w:b w:val="0"/>
          <w:i w:val="0"/>
          <w:color w:val="000000"/>
          <w:sz w:val="22"/>
        </w:rPr>
        <w:t>Available at: https://mongoosejs.com/docs/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[5] </w:t>
      </w:r>
      <w:r>
        <w:rPr>
          <w:rFonts w:ascii="Times New Roman" w:hAnsi="Times New Roman" w:cs="Times New Roman" w:eastAsia="Times New Roman"/>
          <w:b w:val="0"/>
          <w:i/>
          <w:color w:val="000000"/>
          <w:sz w:val="22"/>
        </w:rPr>
        <w:t xml:space="preserve">OpenJS Foundation. </w:t>
      </w:r>
      <w:r>
        <w:rPr>
          <w:rFonts w:ascii="Times New Roman" w:hAnsi="Times New Roman" w:cs="Times New Roman" w:eastAsia="Times New Roman"/>
          <w:b w:val="0"/>
          <w:i w:val="0"/>
          <w:color w:val="000000"/>
          <w:sz w:val="22"/>
        </w:rPr>
        <w:t xml:space="preserve">"jsonwebtoken — JSON Web Token implementation for Node.js.", </w:t>
      </w:r>
      <w:r>
        <w:rPr>
          <w:rFonts w:ascii="Times New Roman" w:hAnsi="Times New Roman" w:cs="Times New Roman" w:eastAsia="Times New Roman"/>
          <w:b w:val="0"/>
          <w:i w:val="0"/>
          <w:color w:val="000000"/>
          <w:sz w:val="22"/>
        </w:rPr>
        <w:t>Available at: https://github.com/auth0/node-jsonwebtoken</w:t>
      </w:r>
    </w:p>
    <w:p>
      <w:pPr>
        <w:spacing w:after="120" w:line="300" w:lineRule="auto"/>
        <w:ind w:left="576" w:hanging="576"/>
        <w:jc w:val="both"/>
      </w:pPr>
      <w:r>
        <w:rPr>
          <w:rFonts w:ascii="Times New Roman" w:hAnsi="Times New Roman" w:cs="Times New Roman" w:eastAsia="Times New Roman"/>
          <w:b/>
          <w:i w:val="0"/>
          <w:color w:val="000000"/>
          <w:sz w:val="22"/>
        </w:rPr>
        <w:t xml:space="preserve">[6] </w:t>
      </w:r>
      <w:r>
        <w:rPr>
          <w:rFonts w:ascii="Times New Roman" w:hAnsi="Times New Roman" w:cs="Times New Roman" w:eastAsia="Times New Roman"/>
          <w:b w:val="0"/>
          <w:i/>
          <w:color w:val="000000"/>
          <w:sz w:val="22"/>
        </w:rPr>
        <w:t xml:space="preserve">Sandhu, R. S., Coyne, E. J., Feinstein, H. L. and Youman, C. E. </w:t>
      </w:r>
      <w:r>
        <w:rPr>
          <w:rFonts w:ascii="Times New Roman" w:hAnsi="Times New Roman" w:cs="Times New Roman" w:eastAsia="Times New Roman"/>
          <w:b w:val="0"/>
          <w:i w:val="0"/>
          <w:color w:val="000000"/>
          <w:sz w:val="22"/>
        </w:rPr>
        <w:t xml:space="preserve">""Role-Based Access Control Models",", </w:t>
      </w:r>
      <w:r>
        <w:rPr>
          <w:rFonts w:ascii="Times New Roman" w:hAnsi="Times New Roman" w:cs="Times New Roman" w:eastAsia="Times New Roman"/>
          <w:b w:val="0"/>
          <w:i w:val="0"/>
          <w:color w:val="000000"/>
          <w:sz w:val="22"/>
        </w:rPr>
        <w:t>IEEE Computer, vol. 29, no. 2, pp. 38-47, February 1996. Cited in Section 2.5 as the origin of the role-based model applied in Sections 3.2 and 4.6.</w:t>
      </w:r>
    </w:p>
    <w:p>
      <w:pPr>
        <w:spacing w:after="120" w:line="300" w:lineRule="auto"/>
        <w:ind w:left="576" w:hanging="576"/>
        <w:jc w:val="both"/>
      </w:pPr>
      <w:r>
        <w:rPr>
          <w:rFonts w:ascii="Times New Roman" w:hAnsi="Times New Roman" w:cs="Times New Roman" w:eastAsia="Times New Roman"/>
          <w:b/>
          <w:i w:val="0"/>
          <w:color w:val="000000"/>
          <w:sz w:val="22"/>
        </w:rPr>
        <w:t xml:space="preserve">[7] </w:t>
      </w:r>
      <w:r>
        <w:rPr>
          <w:rFonts w:ascii="Times New Roman" w:hAnsi="Times New Roman" w:cs="Times New Roman" w:eastAsia="Times New Roman"/>
          <w:b w:val="0"/>
          <w:i/>
          <w:color w:val="000000"/>
          <w:sz w:val="22"/>
        </w:rPr>
        <w:t xml:space="preserve">Hamari, J., Koivisto, J. and Sarsa, H. </w:t>
      </w:r>
      <w:r>
        <w:rPr>
          <w:rFonts w:ascii="Times New Roman" w:hAnsi="Times New Roman" w:cs="Times New Roman" w:eastAsia="Times New Roman"/>
          <w:b w:val="0"/>
          <w:i w:val="0"/>
          <w:color w:val="000000"/>
          <w:sz w:val="22"/>
        </w:rPr>
        <w:t xml:space="preserve">""Does Gamification Work? A Literature Review of Empirical Studies on Gamification",", </w:t>
      </w:r>
      <w:r>
        <w:rPr>
          <w:rFonts w:ascii="Times New Roman" w:hAnsi="Times New Roman" w:cs="Times New Roman" w:eastAsia="Times New Roman"/>
          <w:b w:val="0"/>
          <w:i w:val="0"/>
          <w:color w:val="000000"/>
          <w:sz w:val="22"/>
        </w:rPr>
        <w:t>Proceedings of the 47th Hawaii International Conference on System Sciences (HICSS-47), 2014, pp. 1-10. Cited in Section 2.6.</w:t>
      </w:r>
    </w:p>
    <w:p>
      <w:pPr>
        <w:spacing w:after="120" w:line="300" w:lineRule="auto"/>
        <w:ind w:left="576" w:hanging="576"/>
        <w:jc w:val="both"/>
      </w:pPr>
      <w:r>
        <w:rPr>
          <w:rFonts w:ascii="Times New Roman" w:hAnsi="Times New Roman" w:cs="Times New Roman" w:eastAsia="Times New Roman"/>
          <w:b/>
          <w:i w:val="0"/>
          <w:color w:val="000000"/>
          <w:sz w:val="22"/>
        </w:rPr>
        <w:t xml:space="preserve">[8] </w:t>
      </w:r>
      <w:r>
        <w:rPr>
          <w:rFonts w:ascii="Times New Roman" w:hAnsi="Times New Roman" w:cs="Times New Roman" w:eastAsia="Times New Roman"/>
          <w:b w:val="0"/>
          <w:i/>
          <w:color w:val="000000"/>
          <w:sz w:val="22"/>
        </w:rPr>
        <w:t xml:space="preserve">Mollick, E. R. and Mollick, L. </w:t>
      </w:r>
      <w:r>
        <w:rPr>
          <w:rFonts w:ascii="Times New Roman" w:hAnsi="Times New Roman" w:cs="Times New Roman" w:eastAsia="Times New Roman"/>
          <w:b w:val="0"/>
          <w:i w:val="0"/>
          <w:color w:val="000000"/>
          <w:sz w:val="22"/>
        </w:rPr>
        <w:t xml:space="preserve">""Using AI to Implement Effective Teaching Strategies in Classrooms: Five Strategies, Including Prompts",", </w:t>
      </w:r>
      <w:r>
        <w:rPr>
          <w:rFonts w:ascii="Times New Roman" w:hAnsi="Times New Roman" w:cs="Times New Roman" w:eastAsia="Times New Roman"/>
          <w:b w:val="0"/>
          <w:i w:val="0"/>
          <w:color w:val="000000"/>
          <w:sz w:val="22"/>
        </w:rPr>
        <w:t>SSRN Electronic Journal, 2023. Available at: https://papers.ssrn.com/sol3/papers.cfm?abstract_id=4323286</w:t>
      </w:r>
    </w:p>
    <w:p>
      <w:pPr>
        <w:spacing w:after="120" w:line="300" w:lineRule="auto"/>
        <w:ind w:left="576" w:hanging="576"/>
        <w:jc w:val="both"/>
      </w:pPr>
      <w:r>
        <w:rPr>
          <w:rFonts w:ascii="Times New Roman" w:hAnsi="Times New Roman" w:cs="Times New Roman" w:eastAsia="Times New Roman"/>
          <w:b/>
          <w:i w:val="0"/>
          <w:color w:val="000000"/>
          <w:sz w:val="22"/>
        </w:rPr>
        <w:t xml:space="preserve">[9] </w:t>
      </w:r>
      <w:r>
        <w:rPr>
          <w:rFonts w:ascii="Times New Roman" w:hAnsi="Times New Roman" w:cs="Times New Roman" w:eastAsia="Times New Roman"/>
          <w:b w:val="0"/>
          <w:i/>
          <w:color w:val="000000"/>
          <w:sz w:val="22"/>
        </w:rPr>
        <w:t xml:space="preserve">Pinto, G., Steinmacher, I. and Gerosa, M. A. </w:t>
      </w:r>
      <w:r>
        <w:rPr>
          <w:rFonts w:ascii="Times New Roman" w:hAnsi="Times New Roman" w:cs="Times New Roman" w:eastAsia="Times New Roman"/>
          <w:b w:val="0"/>
          <w:i w:val="0"/>
          <w:color w:val="000000"/>
          <w:sz w:val="22"/>
        </w:rPr>
        <w:t xml:space="preserve">""More Common Than You Think: An In-depth Study of Casual Contributors",", </w:t>
      </w:r>
      <w:r>
        <w:rPr>
          <w:rFonts w:ascii="Times New Roman" w:hAnsi="Times New Roman" w:cs="Times New Roman" w:eastAsia="Times New Roman"/>
          <w:b w:val="0"/>
          <w:i w:val="0"/>
          <w:color w:val="000000"/>
          <w:sz w:val="22"/>
        </w:rPr>
        <w:t>Proceedings of the 23rd IEEE International Conference on Software Analysis, Evolution and Reengineering (SANER), 2016, pp. 199-208. Cited in Section 2.8.</w:t>
      </w:r>
    </w:p>
    <w:p>
      <w:pPr>
        <w:spacing w:after="120" w:line="300" w:lineRule="auto"/>
        <w:ind w:left="576" w:hanging="576"/>
        <w:jc w:val="both"/>
      </w:pPr>
      <w:r>
        <w:rPr>
          <w:rFonts w:ascii="Times New Roman" w:hAnsi="Times New Roman" w:cs="Times New Roman" w:eastAsia="Times New Roman"/>
          <w:b/>
          <w:i w:val="0"/>
          <w:color w:val="000000"/>
          <w:sz w:val="22"/>
        </w:rPr>
        <w:t xml:space="preserve">[10] </w:t>
      </w:r>
      <w:r>
        <w:rPr>
          <w:rFonts w:ascii="Times New Roman" w:hAnsi="Times New Roman" w:cs="Times New Roman" w:eastAsia="Times New Roman"/>
          <w:b w:val="0"/>
          <w:i/>
          <w:color w:val="000000"/>
          <w:sz w:val="22"/>
        </w:rPr>
        <w:t xml:space="preserve">Elo, A. E. </w:t>
      </w:r>
      <w:r>
        <w:rPr>
          <w:rFonts w:ascii="Times New Roman" w:hAnsi="Times New Roman" w:cs="Times New Roman" w:eastAsia="Times New Roman"/>
          <w:b w:val="0"/>
          <w:i w:val="0"/>
          <w:color w:val="000000"/>
          <w:sz w:val="22"/>
        </w:rPr>
        <w:t xml:space="preserve">""The Rating of Chess Players",", </w:t>
      </w:r>
      <w:r>
        <w:rPr>
          <w:rFonts w:ascii="Times New Roman" w:hAnsi="Times New Roman" w:cs="Times New Roman" w:eastAsia="Times New Roman"/>
          <w:b w:val="0"/>
          <w:i w:val="0"/>
          <w:color w:val="000000"/>
          <w:sz w:val="22"/>
        </w:rPr>
        <w:t>US Chess Federation, New York, 1978. The basis of the rating computation implemented in Server/utils/ratingCalculator.js and described in Section 5.13.</w:t>
      </w:r>
    </w:p>
    <w:p>
      <w:pPr>
        <w:spacing w:after="120" w:line="300" w:lineRule="auto"/>
        <w:ind w:left="576" w:hanging="576"/>
        <w:jc w:val="both"/>
      </w:pPr>
      <w:r>
        <w:rPr>
          <w:rFonts w:ascii="Times New Roman" w:hAnsi="Times New Roman" w:cs="Times New Roman" w:eastAsia="Times New Roman"/>
          <w:b/>
          <w:i w:val="0"/>
          <w:color w:val="000000"/>
          <w:sz w:val="22"/>
        </w:rPr>
        <w:t xml:space="preserve">[11] </w:t>
      </w:r>
      <w:r>
        <w:rPr>
          <w:rFonts w:ascii="Times New Roman" w:hAnsi="Times New Roman" w:cs="Times New Roman" w:eastAsia="Times New Roman"/>
          <w:b w:val="0"/>
          <w:i/>
          <w:color w:val="000000"/>
          <w:sz w:val="22"/>
        </w:rPr>
        <w:t xml:space="preserve">Judge0 Ltd. and the Judge0 open-source contributors. </w:t>
      </w:r>
      <w:r>
        <w:rPr>
          <w:rFonts w:ascii="Times New Roman" w:hAnsi="Times New Roman" w:cs="Times New Roman" w:eastAsia="Times New Roman"/>
          <w:b w:val="0"/>
          <w:i w:val="0"/>
          <w:color w:val="000000"/>
          <w:sz w:val="22"/>
        </w:rPr>
        <w:t xml:space="preserve">""Judge0 — Open Source Code and CPU Judge",", </w:t>
      </w:r>
      <w:r>
        <w:rPr>
          <w:rFonts w:ascii="Times New Roman" w:hAnsi="Times New Roman" w:cs="Times New Roman" w:eastAsia="Times New Roman"/>
          <w:b w:val="0"/>
          <w:i w:val="0"/>
          <w:color w:val="000000"/>
          <w:sz w:val="22"/>
        </w:rPr>
        <w:t>Available at: https://judge0.com/ and https://github.com/judge0/judge0</w:t>
      </w:r>
    </w:p>
    <w:p>
      <w:pPr>
        <w:spacing w:after="120" w:line="300" w:lineRule="auto"/>
        <w:ind w:left="576" w:hanging="576"/>
        <w:jc w:val="both"/>
      </w:pPr>
      <w:r>
        <w:rPr>
          <w:rFonts w:ascii="Times New Roman" w:hAnsi="Times New Roman" w:cs="Times New Roman" w:eastAsia="Times New Roman"/>
          <w:b/>
          <w:i w:val="0"/>
          <w:color w:val="000000"/>
          <w:sz w:val="22"/>
        </w:rPr>
        <w:t xml:space="preserve">[12] </w:t>
      </w:r>
      <w:r>
        <w:rPr>
          <w:rFonts w:ascii="Times New Roman" w:hAnsi="Times New Roman" w:cs="Times New Roman" w:eastAsia="Times New Roman"/>
          <w:b w:val="0"/>
          <w:i/>
          <w:color w:val="000000"/>
          <w:sz w:val="22"/>
        </w:rPr>
        <w:t xml:space="preserve">Google. </w:t>
      </w:r>
      <w:r>
        <w:rPr>
          <w:rFonts w:ascii="Times New Roman" w:hAnsi="Times New Roman" w:cs="Times New Roman" w:eastAsia="Times New Roman"/>
          <w:b w:val="0"/>
          <w:i w:val="0"/>
          <w:color w:val="000000"/>
          <w:sz w:val="22"/>
        </w:rPr>
        <w:t xml:space="preserve">""Gemini API — Generative Language API Documentation", v1beta models endpoint.", </w:t>
      </w:r>
      <w:r>
        <w:rPr>
          <w:rFonts w:ascii="Times New Roman" w:hAnsi="Times New Roman" w:cs="Times New Roman" w:eastAsia="Times New Roman"/>
          <w:b w:val="0"/>
          <w:i w:val="0"/>
          <w:color w:val="000000"/>
          <w:sz w:val="22"/>
        </w:rPr>
        <w:t>Available at: https://ai.google.dev/gemini-api/docs</w:t>
      </w:r>
    </w:p>
    <w:p>
      <w:pPr>
        <w:spacing w:after="120" w:line="300" w:lineRule="auto"/>
        <w:ind w:left="576" w:hanging="576"/>
        <w:jc w:val="both"/>
      </w:pPr>
      <w:r>
        <w:rPr>
          <w:rFonts w:ascii="Times New Roman" w:hAnsi="Times New Roman" w:cs="Times New Roman" w:eastAsia="Times New Roman"/>
          <w:b/>
          <w:i w:val="0"/>
          <w:color w:val="000000"/>
          <w:sz w:val="22"/>
        </w:rPr>
        <w:t xml:space="preserve">[13] </w:t>
      </w:r>
      <w:r>
        <w:rPr>
          <w:rFonts w:ascii="Times New Roman" w:hAnsi="Times New Roman" w:cs="Times New Roman" w:eastAsia="Times New Roman"/>
          <w:b w:val="0"/>
          <w:i/>
          <w:color w:val="000000"/>
          <w:sz w:val="22"/>
        </w:rPr>
        <w:t xml:space="preserve">OpenAI. </w:t>
      </w:r>
      <w:r>
        <w:rPr>
          <w:rFonts w:ascii="Times New Roman" w:hAnsi="Times New Roman" w:cs="Times New Roman" w:eastAsia="Times New Roman"/>
          <w:b w:val="0"/>
          <w:i w:val="0"/>
          <w:color w:val="000000"/>
          <w:sz w:val="22"/>
        </w:rPr>
        <w:t xml:space="preserve">""OpenAI API Reference — Chat Completions",", </w:t>
      </w:r>
      <w:r>
        <w:rPr>
          <w:rFonts w:ascii="Times New Roman" w:hAnsi="Times New Roman" w:cs="Times New Roman" w:eastAsia="Times New Roman"/>
          <w:b w:val="0"/>
          <w:i w:val="0"/>
          <w:color w:val="000000"/>
          <w:sz w:val="22"/>
        </w:rPr>
        <w:t>Available at: https://platform.openai.com/docs/api-reference/chat</w:t>
      </w:r>
    </w:p>
    <w:p>
      <w:pPr>
        <w:spacing w:after="120" w:line="300" w:lineRule="auto"/>
        <w:ind w:left="576" w:hanging="576"/>
        <w:jc w:val="both"/>
      </w:pPr>
      <w:r>
        <w:rPr>
          <w:rFonts w:ascii="Times New Roman" w:hAnsi="Times New Roman" w:cs="Times New Roman" w:eastAsia="Times New Roman"/>
          <w:b/>
          <w:i w:val="0"/>
          <w:color w:val="000000"/>
          <w:sz w:val="22"/>
        </w:rPr>
        <w:t xml:space="preserve">[14] </w:t>
      </w:r>
      <w:r>
        <w:rPr>
          <w:rFonts w:ascii="Times New Roman" w:hAnsi="Times New Roman" w:cs="Times New Roman" w:eastAsia="Times New Roman"/>
          <w:b w:val="0"/>
          <w:i/>
          <w:color w:val="000000"/>
          <w:sz w:val="22"/>
        </w:rPr>
        <w:t xml:space="preserve">Groq, Inc. </w:t>
      </w:r>
      <w:r>
        <w:rPr>
          <w:rFonts w:ascii="Times New Roman" w:hAnsi="Times New Roman" w:cs="Times New Roman" w:eastAsia="Times New Roman"/>
          <w:b w:val="0"/>
          <w:i w:val="0"/>
          <w:color w:val="000000"/>
          <w:sz w:val="22"/>
        </w:rPr>
        <w:t xml:space="preserve">""Groq API Documentation — OpenAI-compatible Inference Endpoint",", </w:t>
      </w:r>
      <w:r>
        <w:rPr>
          <w:rFonts w:ascii="Times New Roman" w:hAnsi="Times New Roman" w:cs="Times New Roman" w:eastAsia="Times New Roman"/>
          <w:b w:val="0"/>
          <w:i w:val="0"/>
          <w:color w:val="000000"/>
          <w:sz w:val="22"/>
        </w:rPr>
        <w:t>Available at: https://console.groq.com/docs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[15] </w:t>
      </w:r>
      <w:r>
        <w:rPr>
          <w:rFonts w:ascii="Times New Roman" w:hAnsi="Times New Roman" w:cs="Times New Roman" w:eastAsia="Times New Roman"/>
          <w:b w:val="0"/>
          <w:i/>
          <w:color w:val="000000"/>
          <w:sz w:val="22"/>
        </w:rPr>
        <w:t xml:space="preserve">Socket.IO Inc. </w:t>
      </w:r>
      <w:r>
        <w:rPr>
          <w:rFonts w:ascii="Times New Roman" w:hAnsi="Times New Roman" w:cs="Times New Roman" w:eastAsia="Times New Roman"/>
          <w:b w:val="0"/>
          <w:i w:val="0"/>
          <w:color w:val="000000"/>
          <w:sz w:val="22"/>
        </w:rPr>
        <w:t xml:space="preserve">""Socket.IO 4.x Documentation — Rooms and Broadcasting",", </w:t>
      </w:r>
      <w:r>
        <w:rPr>
          <w:rFonts w:ascii="Times New Roman" w:hAnsi="Times New Roman" w:cs="Times New Roman" w:eastAsia="Times New Roman"/>
          <w:b w:val="0"/>
          <w:i w:val="0"/>
          <w:color w:val="000000"/>
          <w:sz w:val="22"/>
        </w:rPr>
        <w:t>Available at: https://socket.io/docs/v4/</w:t>
      </w:r>
    </w:p>
    <w:p>
      <w:pPr>
        <w:spacing w:after="120" w:line="300" w:lineRule="auto"/>
        <w:ind w:left="576" w:hanging="576"/>
        <w:jc w:val="both"/>
      </w:pPr>
      <w:r>
        <w:rPr>
          <w:rFonts w:ascii="Times New Roman" w:hAnsi="Times New Roman" w:cs="Times New Roman" w:eastAsia="Times New Roman"/>
          <w:b/>
          <w:i w:val="0"/>
          <w:color w:val="000000"/>
          <w:sz w:val="22"/>
        </w:rPr>
        <w:t xml:space="preserve">[16] </w:t>
      </w:r>
      <w:r>
        <w:rPr>
          <w:rFonts w:ascii="Times New Roman" w:hAnsi="Times New Roman" w:cs="Times New Roman" w:eastAsia="Times New Roman"/>
          <w:b w:val="0"/>
          <w:i/>
          <w:color w:val="000000"/>
          <w:sz w:val="22"/>
        </w:rPr>
        <w:t xml:space="preserve">Meta Platforms, Inc. and contributors. </w:t>
      </w:r>
      <w:r>
        <w:rPr>
          <w:rFonts w:ascii="Times New Roman" w:hAnsi="Times New Roman" w:cs="Times New Roman" w:eastAsia="Times New Roman"/>
          <w:b w:val="0"/>
          <w:i w:val="0"/>
          <w:color w:val="000000"/>
          <w:sz w:val="22"/>
        </w:rPr>
        <w:t xml:space="preserve">""React 18 — A JavaScript Library for Building User Interfaces",", </w:t>
      </w:r>
      <w:r>
        <w:rPr>
          <w:rFonts w:ascii="Times New Roman" w:hAnsi="Times New Roman" w:cs="Times New Roman" w:eastAsia="Times New Roman"/>
          <w:b w:val="0"/>
          <w:i w:val="0"/>
          <w:color w:val="000000"/>
          <w:sz w:val="22"/>
        </w:rPr>
        <w:t>Available at: https://react.dev/ and https://react.dev/blog/2022/03/29/react-v18</w:t>
      </w:r>
    </w:p>
    <w:p>
      <w:pPr>
        <w:spacing w:after="120" w:line="300" w:lineRule="auto"/>
        <w:ind w:left="576" w:hanging="576"/>
        <w:jc w:val="both"/>
      </w:pPr>
      <w:r>
        <w:rPr>
          <w:rFonts w:ascii="Times New Roman" w:hAnsi="Times New Roman" w:cs="Times New Roman" w:eastAsia="Times New Roman"/>
          <w:b/>
          <w:i w:val="0"/>
          <w:color w:val="000000"/>
          <w:sz w:val="22"/>
        </w:rPr>
        <w:t xml:space="preserve">[17] </w:t>
      </w:r>
      <w:r>
        <w:rPr>
          <w:rFonts w:ascii="Times New Roman" w:hAnsi="Times New Roman" w:cs="Times New Roman" w:eastAsia="Times New Roman"/>
          <w:b w:val="0"/>
          <w:i/>
          <w:color w:val="000000"/>
          <w:sz w:val="22"/>
        </w:rPr>
        <w:t xml:space="preserve">Evan You and contributors. </w:t>
      </w:r>
      <w:r>
        <w:rPr>
          <w:rFonts w:ascii="Times New Roman" w:hAnsi="Times New Roman" w:cs="Times New Roman" w:eastAsia="Times New Roman"/>
          <w:b w:val="0"/>
          <w:i w:val="0"/>
          <w:color w:val="000000"/>
          <w:sz w:val="22"/>
        </w:rPr>
        <w:t xml:space="preserve">""Vite — Next Generation Frontend Tooling",", </w:t>
      </w:r>
      <w:r>
        <w:rPr>
          <w:rFonts w:ascii="Times New Roman" w:hAnsi="Times New Roman" w:cs="Times New Roman" w:eastAsia="Times New Roman"/>
          <w:b w:val="0"/>
          <w:i w:val="0"/>
          <w:color w:val="000000"/>
          <w:sz w:val="22"/>
        </w:rPr>
        <w:t>Available at: https://vitejs.dev/guide/</w:t>
      </w:r>
    </w:p>
    <w:p>
      <w:pPr>
        <w:spacing w:after="120" w:line="300" w:lineRule="auto"/>
        <w:ind w:left="576" w:hanging="576"/>
        <w:jc w:val="both"/>
      </w:pPr>
      <w:r>
        <w:rPr>
          <w:rFonts w:ascii="Times New Roman" w:hAnsi="Times New Roman" w:cs="Times New Roman" w:eastAsia="Times New Roman"/>
          <w:b/>
          <w:i w:val="0"/>
          <w:color w:val="000000"/>
          <w:sz w:val="22"/>
        </w:rPr>
        <w:t xml:space="preserve">[18] </w:t>
      </w:r>
      <w:r>
        <w:rPr>
          <w:rFonts w:ascii="Times New Roman" w:hAnsi="Times New Roman" w:cs="Times New Roman" w:eastAsia="Times New Roman"/>
          <w:b w:val="0"/>
          <w:i/>
          <w:color w:val="000000"/>
          <w:sz w:val="22"/>
        </w:rPr>
        <w:t xml:space="preserve">Adam Wathan and contributors. </w:t>
      </w:r>
      <w:r>
        <w:rPr>
          <w:rFonts w:ascii="Times New Roman" w:hAnsi="Times New Roman" w:cs="Times New Roman" w:eastAsia="Times New Roman"/>
          <w:b w:val="0"/>
          <w:i w:val="0"/>
          <w:color w:val="000000"/>
          <w:sz w:val="22"/>
        </w:rPr>
        <w:t xml:space="preserve">""Tailwind CSS — A Utility-First CSS Framework",", </w:t>
      </w:r>
      <w:r>
        <w:rPr>
          <w:rFonts w:ascii="Times New Roman" w:hAnsi="Times New Roman" w:cs="Times New Roman" w:eastAsia="Times New Roman"/>
          <w:b w:val="0"/>
          <w:i w:val="0"/>
          <w:color w:val="000000"/>
          <w:sz w:val="22"/>
        </w:rPr>
        <w:t>Available at: https://tailwindcss.com/docs</w:t>
      </w:r>
    </w:p>
    <w:p>
      <w:pPr>
        <w:spacing w:after="120" w:line="300" w:lineRule="auto"/>
        <w:ind w:left="576" w:hanging="576"/>
        <w:jc w:val="both"/>
      </w:pPr>
      <w:r>
        <w:rPr>
          <w:rFonts w:ascii="Times New Roman" w:hAnsi="Times New Roman" w:cs="Times New Roman" w:eastAsia="Times New Roman"/>
          <w:b/>
          <w:i w:val="0"/>
          <w:color w:val="000000"/>
          <w:sz w:val="22"/>
        </w:rPr>
        <w:t xml:space="preserve">[19] </w:t>
      </w:r>
      <w:r>
        <w:rPr>
          <w:rFonts w:ascii="Times New Roman" w:hAnsi="Times New Roman" w:cs="Times New Roman" w:eastAsia="Times New Roman"/>
          <w:b w:val="0"/>
          <w:i/>
          <w:color w:val="000000"/>
          <w:sz w:val="22"/>
        </w:rPr>
        <w:t xml:space="preserve">Microsoft Corporation. </w:t>
      </w:r>
      <w:r>
        <w:rPr>
          <w:rFonts w:ascii="Times New Roman" w:hAnsi="Times New Roman" w:cs="Times New Roman" w:eastAsia="Times New Roman"/>
          <w:b w:val="0"/>
          <w:i w:val="0"/>
          <w:color w:val="000000"/>
          <w:sz w:val="22"/>
        </w:rPr>
        <w:t xml:space="preserve">""Monaco Editor — The Editor That Powers Visual Studio Code",", </w:t>
      </w:r>
      <w:r>
        <w:rPr>
          <w:rFonts w:ascii="Times New Roman" w:hAnsi="Times New Roman" w:cs="Times New Roman" w:eastAsia="Times New Roman"/>
          <w:b w:val="0"/>
          <w:i w:val="0"/>
          <w:color w:val="000000"/>
          <w:sz w:val="22"/>
        </w:rPr>
        <w:t>Available at: https://microsoft.github.io/monaco-editor/</w:t>
      </w:r>
    </w:p>
    <w:p>
      <w:pPr>
        <w:spacing w:after="120" w:line="300" w:lineRule="auto"/>
        <w:ind w:left="576" w:hanging="576"/>
        <w:jc w:val="both"/>
      </w:pPr>
      <w:r>
        <w:rPr>
          <w:rFonts w:ascii="Times New Roman" w:hAnsi="Times New Roman" w:cs="Times New Roman" w:eastAsia="Times New Roman"/>
          <w:b/>
          <w:i w:val="0"/>
          <w:color w:val="000000"/>
          <w:sz w:val="22"/>
        </w:rPr>
        <w:t xml:space="preserve">[20] </w:t>
      </w:r>
      <w:r>
        <w:rPr>
          <w:rFonts w:ascii="Times New Roman" w:hAnsi="Times New Roman" w:cs="Times New Roman" w:eastAsia="Times New Roman"/>
          <w:b w:val="0"/>
          <w:i/>
          <w:color w:val="000000"/>
          <w:sz w:val="22"/>
        </w:rPr>
        <w:t xml:space="preserve">The Firebase Team. </w:t>
      </w:r>
      <w:r>
        <w:rPr>
          <w:rFonts w:ascii="Times New Roman" w:hAnsi="Times New Roman" w:cs="Times New Roman" w:eastAsia="Times New Roman"/>
          <w:b w:val="0"/>
          <w:i w:val="0"/>
          <w:color w:val="000000"/>
          <w:sz w:val="22"/>
        </w:rPr>
        <w:t xml:space="preserve">""Firebase Authentication — Sign in with Google", and the Firebase JavaScript SDK documentation.", </w:t>
      </w:r>
      <w:r>
        <w:rPr>
          <w:rFonts w:ascii="Times New Roman" w:hAnsi="Times New Roman" w:cs="Times New Roman" w:eastAsia="Times New Roman"/>
          <w:b w:val="0"/>
          <w:i w:val="0"/>
          <w:color w:val="000000"/>
          <w:sz w:val="22"/>
        </w:rPr>
        <w:t>Available at: https://firebase.google.com/docs/auth</w:t>
      </w:r>
    </w:p>
    <w:p>
      <w:pPr>
        <w:spacing w:after="120" w:line="300" w:lineRule="auto"/>
        <w:ind w:left="576" w:hanging="576"/>
        <w:jc w:val="both"/>
      </w:pPr>
      <w:r>
        <w:rPr>
          <w:rFonts w:ascii="Times New Roman" w:hAnsi="Times New Roman" w:cs="Times New Roman" w:eastAsia="Times New Roman"/>
          <w:b/>
          <w:i w:val="0"/>
          <w:color w:val="000000"/>
          <w:sz w:val="22"/>
        </w:rPr>
        <w:t xml:space="preserve">[21] </w:t>
      </w:r>
      <w:r>
        <w:rPr>
          <w:rFonts w:ascii="Times New Roman" w:hAnsi="Times New Roman" w:cs="Times New Roman" w:eastAsia="Times New Roman"/>
          <w:b w:val="0"/>
          <w:i/>
          <w:color w:val="000000"/>
          <w:sz w:val="22"/>
        </w:rPr>
        <w:t xml:space="preserve">Auth0, Inc. </w:t>
      </w:r>
      <w:r>
        <w:rPr>
          <w:rFonts w:ascii="Times New Roman" w:hAnsi="Times New Roman" w:cs="Times New Roman" w:eastAsia="Times New Roman"/>
          <w:b w:val="0"/>
          <w:i w:val="0"/>
          <w:color w:val="000000"/>
          <w:sz w:val="22"/>
        </w:rPr>
        <w:t xml:space="preserve">""JSON Web Token (JWT) — RFC 7519",", </w:t>
      </w:r>
      <w:r>
        <w:rPr>
          <w:rFonts w:ascii="Times New Roman" w:hAnsi="Times New Roman" w:cs="Times New Roman" w:eastAsia="Times New Roman"/>
          <w:b w:val="0"/>
          <w:i w:val="0"/>
          <w:color w:val="000000"/>
          <w:sz w:val="22"/>
        </w:rPr>
        <w:t>Available at: https://jwt.io/</w:t>
      </w:r>
    </w:p>
    <w:p>
      <w:pPr>
        <w:spacing w:after="120" w:line="300" w:lineRule="auto"/>
        <w:ind w:left="576" w:hanging="576"/>
        <w:jc w:val="both"/>
      </w:pPr>
      <w:r>
        <w:rPr>
          <w:rFonts w:ascii="Times New Roman" w:hAnsi="Times New Roman" w:cs="Times New Roman" w:eastAsia="Times New Roman"/>
          <w:b/>
          <w:i w:val="0"/>
          <w:color w:val="000000"/>
          <w:sz w:val="22"/>
        </w:rPr>
        <w:t xml:space="preserve">[22] </w:t>
      </w:r>
      <w:r>
        <w:rPr>
          <w:rFonts w:ascii="Times New Roman" w:hAnsi="Times New Roman" w:cs="Times New Roman" w:eastAsia="Times New Roman"/>
          <w:b w:val="0"/>
          <w:i/>
          <w:color w:val="000000"/>
          <w:sz w:val="22"/>
        </w:rPr>
        <w:t xml:space="preserve">Nodemailer. </w:t>
      </w:r>
      <w:r>
        <w:rPr>
          <w:rFonts w:ascii="Times New Roman" w:hAnsi="Times New Roman" w:cs="Times New Roman" w:eastAsia="Times New Roman"/>
          <w:b w:val="0"/>
          <w:i w:val="0"/>
          <w:color w:val="000000"/>
          <w:sz w:val="22"/>
        </w:rPr>
        <w:t xml:space="preserve">""Nodemailer — Email Sending Library for Node.js",", </w:t>
      </w:r>
      <w:r>
        <w:rPr>
          <w:rFonts w:ascii="Times New Roman" w:hAnsi="Times New Roman" w:cs="Times New Roman" w:eastAsia="Times New Roman"/>
          <w:b w:val="0"/>
          <w:i w:val="0"/>
          <w:color w:val="000000"/>
          <w:sz w:val="22"/>
        </w:rPr>
        <w:t>Available at: https://nodemailer.com/</w:t>
      </w:r>
    </w:p>
    <w:p>
      <w:pPr>
        <w:spacing w:after="120" w:line="300" w:lineRule="auto"/>
        <w:ind w:left="576" w:hanging="576"/>
        <w:jc w:val="both"/>
      </w:pPr>
      <w:r>
        <w:rPr>
          <w:rFonts w:ascii="Times New Roman" w:hAnsi="Times New Roman" w:cs="Times New Roman" w:eastAsia="Times New Roman"/>
          <w:b/>
          <w:i w:val="0"/>
          <w:color w:val="000000"/>
          <w:sz w:val="22"/>
        </w:rPr>
        <w:t xml:space="preserve">[23] </w:t>
      </w:r>
      <w:r>
        <w:rPr>
          <w:rFonts w:ascii="Times New Roman" w:hAnsi="Times New Roman" w:cs="Times New Roman" w:eastAsia="Times New Roman"/>
          <w:b w:val="0"/>
          <w:i/>
          <w:color w:val="000000"/>
          <w:sz w:val="22"/>
        </w:rPr>
        <w:t xml:space="preserve">Google Developers. </w:t>
      </w:r>
      <w:r>
        <w:rPr>
          <w:rFonts w:ascii="Times New Roman" w:hAnsi="Times New Roman" w:cs="Times New Roman" w:eastAsia="Times New Roman"/>
          <w:b w:val="0"/>
          <w:i w:val="0"/>
          <w:color w:val="000000"/>
          <w:sz w:val="22"/>
        </w:rPr>
        <w:t xml:space="preserve">""YouTube Data API v3 Documentation",", </w:t>
      </w:r>
      <w:r>
        <w:rPr>
          <w:rFonts w:ascii="Times New Roman" w:hAnsi="Times New Roman" w:cs="Times New Roman" w:eastAsia="Times New Roman"/>
          <w:b w:val="0"/>
          <w:i w:val="0"/>
          <w:color w:val="000000"/>
          <w:sz w:val="22"/>
        </w:rPr>
        <w:t>Available at: https://developers.google.com/youtube/v3/docs</w:t>
      </w:r>
    </w:p>
    <w:p>
      <w:pPr>
        <w:spacing w:after="120" w:line="300" w:lineRule="auto"/>
        <w:ind w:left="576" w:hanging="576"/>
        <w:jc w:val="both"/>
      </w:pPr>
      <w:r>
        <w:rPr>
          <w:rFonts w:ascii="Times New Roman" w:hAnsi="Times New Roman" w:cs="Times New Roman" w:eastAsia="Times New Roman"/>
          <w:b/>
          <w:i w:val="0"/>
          <w:color w:val="000000"/>
          <w:sz w:val="22"/>
        </w:rPr>
        <w:t xml:space="preserve">[24] </w:t>
      </w:r>
      <w:r>
        <w:rPr>
          <w:rFonts w:ascii="Times New Roman" w:hAnsi="Times New Roman" w:cs="Times New Roman" w:eastAsia="Times New Roman"/>
          <w:b w:val="0"/>
          <w:i/>
          <w:color w:val="000000"/>
          <w:sz w:val="22"/>
        </w:rPr>
        <w:t xml:space="preserve">NewsAPI. </w:t>
      </w:r>
      <w:r>
        <w:rPr>
          <w:rFonts w:ascii="Times New Roman" w:hAnsi="Times New Roman" w:cs="Times New Roman" w:eastAsia="Times New Roman"/>
          <w:b w:val="0"/>
          <w:i w:val="0"/>
          <w:color w:val="000000"/>
          <w:sz w:val="22"/>
        </w:rPr>
        <w:t xml:space="preserve">""NewsAPI — Top Headlines Endpoint Documentation",", </w:t>
      </w:r>
      <w:r>
        <w:rPr>
          <w:rFonts w:ascii="Times New Roman" w:hAnsi="Times New Roman" w:cs="Times New Roman" w:eastAsia="Times New Roman"/>
          <w:b w:val="0"/>
          <w:i w:val="0"/>
          <w:color w:val="000000"/>
          <w:sz w:val="22"/>
        </w:rPr>
        <w:t>Available at: https://newsapi.org/docs</w:t>
      </w:r>
    </w:p>
    <w:p>
      <w:pPr>
        <w:spacing w:after="120" w:line="300" w:lineRule="auto"/>
        <w:ind w:left="576" w:hanging="576"/>
        <w:jc w:val="both"/>
      </w:pPr>
      <w:r>
        <w:rPr>
          <w:rFonts w:ascii="Times New Roman" w:hAnsi="Times New Roman" w:cs="Times New Roman" w:eastAsia="Times New Roman"/>
          <w:b/>
          <w:i w:val="0"/>
          <w:color w:val="000000"/>
          <w:sz w:val="22"/>
        </w:rPr>
        <w:t xml:space="preserve">[25] </w:t>
      </w:r>
      <w:r>
        <w:rPr>
          <w:rFonts w:ascii="Times New Roman" w:hAnsi="Times New Roman" w:cs="Times New Roman" w:eastAsia="Times New Roman"/>
          <w:b w:val="0"/>
          <w:i/>
          <w:color w:val="000000"/>
          <w:sz w:val="22"/>
        </w:rPr>
        <w:t xml:space="preserve">Paystack, Inc. and Stripe, Inc. </w:t>
      </w:r>
      <w:r>
        <w:rPr>
          <w:rFonts w:ascii="Times New Roman" w:hAnsi="Times New Roman" w:cs="Times New Roman" w:eastAsia="Times New Roman"/>
          <w:b w:val="0"/>
          <w:i w:val="0"/>
          <w:color w:val="000000"/>
          <w:sz w:val="22"/>
        </w:rPr>
        <w:t xml:space="preserve">""Stripe — Payment Links and Checkout Documentation",", </w:t>
      </w:r>
      <w:r>
        <w:rPr>
          <w:rFonts w:ascii="Times New Roman" w:hAnsi="Times New Roman" w:cs="Times New Roman" w:eastAsia="Times New Roman"/>
          <w:b w:val="0"/>
          <w:i w:val="0"/>
          <w:color w:val="000000"/>
          <w:sz w:val="22"/>
        </w:rPr>
        <w:t>Consulted in relation to the subscription module described in Sections 3.3 and 5.15. Available at: https://docs.stripe.com/</w:t>
      </w:r>
    </w:p>
    <w:p>
      <w:pPr>
        <w:spacing w:after="120" w:line="300" w:lineRule="auto"/>
        <w:ind w:left="576" w:hanging="576"/>
        <w:jc w:val="both"/>
      </w:pPr>
      <w:r>
        <w:rPr>
          <w:rFonts w:ascii="Times New Roman" w:hAnsi="Times New Roman" w:cs="Times New Roman" w:eastAsia="Times New Roman"/>
          <w:b/>
          <w:i w:val="0"/>
          <w:color w:val="000000"/>
          <w:sz w:val="22"/>
        </w:rPr>
        <w:t xml:space="preserve">[26] </w:t>
      </w:r>
      <w:r>
        <w:rPr>
          <w:rFonts w:ascii="Times New Roman" w:hAnsi="Times New Roman" w:cs="Times New Roman" w:eastAsia="Times New Roman"/>
          <w:b w:val="0"/>
          <w:i/>
          <w:color w:val="000000"/>
          <w:sz w:val="22"/>
        </w:rPr>
        <w:t xml:space="preserve">Mozilla Foundation and contributors. </w:t>
      </w:r>
      <w:r>
        <w:rPr>
          <w:rFonts w:ascii="Times New Roman" w:hAnsi="Times New Roman" w:cs="Times New Roman" w:eastAsia="Times New Roman"/>
          <w:b w:val="0"/>
          <w:i w:val="0"/>
          <w:color w:val="000000"/>
          <w:sz w:val="22"/>
        </w:rPr>
        <w:t xml:space="preserve">""MDN Web Docs — Fetch API, Web Storage and Regular Expressions",", </w:t>
      </w:r>
      <w:r>
        <w:rPr>
          <w:rFonts w:ascii="Times New Roman" w:hAnsi="Times New Roman" w:cs="Times New Roman" w:eastAsia="Times New Roman"/>
          <w:b w:val="0"/>
          <w:i w:val="0"/>
          <w:color w:val="000000"/>
          <w:sz w:val="22"/>
        </w:rPr>
        <w:t>Available at: https://developer.mozilla.org/</w:t>
      </w:r>
    </w:p>
    <w:p>
      <w:pPr>
        <w:spacing w:after="120" w:line="300" w:lineRule="auto"/>
        <w:ind w:left="576" w:hanging="576"/>
        <w:jc w:val="both"/>
      </w:pPr>
      <w:r>
        <w:rPr>
          <w:rFonts w:ascii="Times New Roman" w:hAnsi="Times New Roman" w:cs="Times New Roman" w:eastAsia="Times New Roman"/>
          <w:b/>
          <w:i w:val="0"/>
          <w:color w:val="000000"/>
          <w:sz w:val="22"/>
        </w:rPr>
        <w:t xml:space="preserve">[27] </w:t>
      </w:r>
      <w:r>
        <w:rPr>
          <w:rFonts w:ascii="Times New Roman" w:hAnsi="Times New Roman" w:cs="Times New Roman" w:eastAsia="Times New Roman"/>
          <w:b w:val="0"/>
          <w:i/>
          <w:color w:val="000000"/>
          <w:sz w:val="22"/>
        </w:rPr>
        <w:t xml:space="preserve">The OpenJS Foundation and contributors. </w:t>
      </w:r>
      <w:r>
        <w:rPr>
          <w:rFonts w:ascii="Times New Roman" w:hAnsi="Times New Roman" w:cs="Times New Roman" w:eastAsia="Times New Roman"/>
          <w:b w:val="0"/>
          <w:i w:val="0"/>
          <w:color w:val="000000"/>
          <w:sz w:val="22"/>
        </w:rPr>
        <w:t xml:space="preserve">""Express, Node.js and Socket.IO — Documentation and Release Notes",", </w:t>
      </w:r>
      <w:r>
        <w:rPr>
          <w:rFonts w:ascii="Times New Roman" w:hAnsi="Times New Roman" w:cs="Times New Roman" w:eastAsia="Times New Roman"/>
          <w:b w:val="0"/>
          <w:i w:val="0"/>
          <w:color w:val="000000"/>
          <w:sz w:val="22"/>
        </w:rPr>
        <w:t>Consulted for the versions and the middleware semantics recorded in Table 3.4.</w:t>
      </w:r>
    </w:p>
    <w:p>
      <w:pPr>
        <w:spacing w:after="120" w:line="300" w:lineRule="auto"/>
        <w:ind w:left="576" w:hanging="576"/>
        <w:jc w:val="both"/>
      </w:pPr>
      <w:r>
        <w:rPr>
          <w:rFonts w:ascii="Times New Roman" w:hAnsi="Times New Roman" w:cs="Times New Roman" w:eastAsia="Times New Roman"/>
          <w:b/>
          <w:i w:val="0"/>
          <w:color w:val="000000"/>
          <w:sz w:val="22"/>
        </w:rPr>
        <w:t xml:space="preserve">[28] </w:t>
      </w:r>
      <w:r>
        <w:rPr>
          <w:rFonts w:ascii="Times New Roman" w:hAnsi="Times New Roman" w:cs="Times New Roman" w:eastAsia="Times New Roman"/>
          <w:b w:val="0"/>
          <w:i/>
          <w:color w:val="000000"/>
          <w:sz w:val="22"/>
        </w:rPr>
        <w:t xml:space="preserve">MrAlpha00. </w:t>
      </w:r>
      <w:r>
        <w:rPr>
          <w:rFonts w:ascii="Times New Roman" w:hAnsi="Times New Roman" w:cs="Times New Roman" w:eastAsia="Times New Roman"/>
          <w:b w:val="0"/>
          <w:i w:val="0"/>
          <w:color w:val="000000"/>
          <w:sz w:val="22"/>
        </w:rPr>
        <w:t xml:space="preserve">""Dev-Elevate — Elevora AI Project Repository", GitHub, 2025.", </w:t>
      </w:r>
      <w:r>
        <w:rPr>
          <w:rFonts w:ascii="Times New Roman" w:hAnsi="Times New Roman" w:cs="Times New Roman" w:eastAsia="Times New Roman"/>
          <w:b w:val="0"/>
          <w:i w:val="0"/>
          <w:color w:val="000000"/>
          <w:sz w:val="22"/>
        </w:rPr>
        <w:t>The software described in this report. Available at: https://github.com/MrAlpha00/Dev-Elevate</w:t>
      </w:r>
    </w:p>
    <w:sectPr w:rsidR="00FC693F" w:rsidRPr="0006063C" w:rsidSect="00034616">
      <w:headerReference w:type="default" r:id="rId10"/>
      <w:footerReference w:type="default" r:id="rId11"/>
      <w:pgSz w:w="11909" w:h="16834"/>
      <w:pgMar w:top="1440" w:right="1440" w:bottom="1296" w:left="1440" w:header="648"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ind w:firstLine="0"/>
      <w:jc w:val="center"/>
    </w:pPr>
    <w:r/>
    <w:r>
      <w:rPr>
        <w:rFonts w:ascii="Times New Roman" w:hAnsi="Times New Roman"/>
        <w:b w:val="0"/>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3" w:color="000000"/>
      </w:pBdr>
      <w:tabs>
        <w:tab w:pos="4507" w:val="center"/>
        <w:tab w:pos="9029" w:val="right"/>
      </w:tabs>
      <w:spacing w:before="40" w:line="240" w:lineRule="auto"/>
      <w:ind w:firstLine="0"/>
    </w:pPr>
    <w:r/>
    <w:r>
      <w:rPr>
        <w:rFonts w:ascii="Times New Roman" w:hAnsi="Times New Roman" w:cs="Times New Roman" w:eastAsia="Times New Roman"/>
        <w:b w:val="0"/>
        <w:i w:val="0"/>
        <w:color w:val="000000"/>
        <w:sz w:val="22"/>
      </w:rPr>
      <w:t>Elevora AI</w:t>
    </w:r>
    <w:r>
      <w:rPr>
        <w:rFonts w:ascii="Times New Roman" w:hAnsi="Times New Roman" w:cs="Times New Roman" w:eastAsia="Times New Roman"/>
        <w:b w:val="0"/>
        <w:i w:val="0"/>
        <w:color w:val="000000"/>
        <w:sz w:val="22"/>
      </w:rPr>
      <w:tab/>
    </w:r>
    <w:r>
      <w:rPr>
        <w:rFonts w:ascii="Times New Roman" w:hAnsi="Times New Roman" w:cs="Times New Roman" w:eastAsia="Times New Roman"/>
        <w:b w:val="0"/>
        <w:i w:val="0"/>
        <w:color w:val="000000"/>
        <w:sz w:val="22"/>
      </w:rPr>
      <w:t>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8" w:space="3" w:color="000000"/>
      </w:pBdr>
      <w:tabs>
        <w:tab w:pos="9029" w:val="right"/>
      </w:tabs>
      <w:spacing w:after="40" w:line="240" w:lineRule="auto"/>
      <w:ind w:firstLine="0"/>
    </w:pPr>
    <w:r/>
    <w:r>
      <w:rPr>
        <w:rFonts w:ascii="Times New Roman" w:hAnsi="Times New Roman" w:cs="Times New Roman" w:eastAsia="Times New Roman"/>
        <w:b w:val="0"/>
        <w:i w:val="0"/>
        <w:color w:val="000000"/>
        <w:sz w:val="22"/>
      </w:rPr>
      <w:t>Elevora AI  -  Dev-Elevate</w:t>
    </w:r>
    <w:r>
      <w:rPr>
        <w:rFonts w:ascii="Times New Roman" w:hAnsi="Times New Roman" w:cs="Times New Roman" w:eastAsia="Times New Roman"/>
        <w:b w:val="0"/>
        <w:i w:val="0"/>
        <w:color w:val="000000"/>
        <w:sz w:val="22"/>
      </w:rPr>
      <w:tab/>
    </w:r>
    <w:r>
      <w:rPr>
        <w:rFonts w:ascii="Times New Roman" w:hAnsi="Times New Roman"/>
        <w:b w:val="0"/>
        <w:sz w:val="22"/>
      </w:rPr>
      <w:fldChar w:fldCharType="begin"/>
    </w:r>
    <w:r>
      <w:rPr>
        <w:rFonts w:ascii="Times New Roman" w:hAnsi="Times New Roman"/>
        <w:sz w:val="22"/>
      </w:rPr>
      <w:instrText xml:space="preserve"> STYLEREF "ChapterTitle" \* MERGEFORMAT </w:instrText>
    </w:r>
    <w:r>
      <w:rPr>
        <w:rFonts w:ascii="Times New Roman" w:hAnsi="Times New Roman"/>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basedOn w:val="Normal"/>
    <w:pPr>
      <w:keepNext/>
      <w:spacing w:before="120" w:after="360"/>
      <w:ind w:firstLine="0"/>
      <w:jc w:val="center"/>
    </w:pPr>
    <w:rPr>
      <w:rFonts w:ascii="Times New Roman" w:hAnsi="Times New Roman"/>
      <w:b/>
      <w:sz w:val="36"/>
    </w:rPr>
  </w:style>
  <w:style w:type="paragraph" w:customStyle="1" w:styleId="SectionHeading">
    <w:name w:val="SectionHeading"/>
    <w:basedOn w:val="Normal"/>
    <w:pPr>
      <w:keepNext/>
      <w:spacing w:before="280" w:after="120"/>
      <w:ind w:firstLine="0"/>
      <w:jc w:val="left"/>
    </w:pPr>
    <w:rPr>
      <w:rFonts w:ascii="Times New Roman" w:hAnsi="Times New Roman"/>
      <w:b/>
      <w:sz w:val="28"/>
    </w:rPr>
  </w:style>
  <w:style w:type="paragraph" w:customStyle="1" w:styleId="FigureCaption">
    <w:name w:val="FigureCaption"/>
    <w:basedOn w:val="Normal"/>
    <w:pPr>
      <w:keepNext w:val="0"/>
      <w:spacing w:before="80" w:after="280"/>
      <w:ind w:firstLine="0"/>
      <w:jc w:val="center"/>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