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Campagne de sponsoring, edition de Paris</w:t>
      </w:r>
    </w:p>
    <w:p>
      <w:pPr>
        <w:spacing w:after="280"/>
      </w:pPr>
      <w:r>
        <w:rPr>
          <w:color w:val="84837C"/>
          <w:sz w:val="23"/>
        </w:rPr>
        <w:t>Ce qui vous est remis, ce qui reste a decider, et par quoi commencer</w:t>
      </w:r>
    </w:p>
    <w:p>
      <w:pPr>
        <w:spacing w:before="120" w:after="200"/>
        <w:ind w:left="283"/>
        <w:shd w:val="clear" w:color="auto" w:fill="FFFDF5"/>
        <w:pBdr>
          <w:top w:val="single" w:sz="6" w:space="6" w:color="C9A54E"/>
          <w:left w:val="single" w:sz="6" w:space="6" w:color="C9A54E"/>
          <w:bottom w:val="single" w:sz="6" w:space="6" w:color="C9A54E"/>
          <w:right w:val="single" w:sz="6" w:space="6" w:color="C9A54E"/>
        </w:pBdr>
      </w:pPr>
      <w:r>
        <w:rPr>
          <w:b w:val="0"/>
          <w:i w:val="0"/>
          <w:color w:val="3D3D39"/>
          <w:sz w:val="21"/>
        </w:rPr>
        <w:t>Note d'accompagnement de Mr Attractor à Thim Production, 19 août 2026. Tous les documents du lot sont au format Word, modifiables. Travaillez dedans directement, activez le suivi des modifications si vous le souhaitez, et renvoyez-nous les fichiers : nous intégrons et nous remettons au propre.</w:t>
      </w:r>
    </w:p>
    <w:p>
      <w:pPr>
        <w:spacing w:before="40" w:after="160"/>
        <w:pBdr>
          <w:bottom w:val="single" w:sz="6" w:space="1" w:color="D2CFC8"/>
        </w:pBdr>
      </w:pPr>
    </w:p>
    <w:p>
      <w:pPr>
        <w:pStyle w:val="Heading1"/>
      </w:pPr>
      <w:r>
        <w:rPr>
          <w:b/>
          <w:i w:val="0"/>
        </w:rPr>
        <w:t>Les six documents du lot</w:t>
      </w:r>
    </w:p>
    <w:tbl>
      <w:tblPr>
        <w:tblStyle w:val="TableGrid"/>
        <w:tblW w:type="auto" w:w="0"/>
        <w:jc w:val="left"/>
        <w:tblLayout w:type="autofit"/>
        <w:tblLook w:firstColumn="1" w:firstRow="1" w:lastColumn="0" w:lastRow="0" w:noHBand="0" w:noVBand="1" w:val="04A0"/>
      </w:tblPr>
      <w:tblGrid>
        <w:gridCol w:w="4873"/>
        <w:gridCol w:w="4873"/>
      </w:tblGrid>
      <w:tr>
        <w:trPr>
          <w:tblHeader w:val="true"/>
        </w:trPr>
        <w:tc>
          <w:tcPr>
            <w:tcW w:type="dxa" w:w="4873"/>
            <w:shd w:val="clear" w:color="auto" w:fill="EAF0F3"/>
          </w:tcPr>
          <w:p>
            <w:pPr>
              <w:spacing w:after="40"/>
            </w:pPr>
            <w:r/>
            <w:r>
              <w:rPr>
                <w:b/>
                <w:i w:val="0"/>
                <w:sz w:val="20"/>
              </w:rPr>
              <w:t>Fichier</w:t>
            </w:r>
          </w:p>
        </w:tc>
        <w:tc>
          <w:tcPr>
            <w:tcW w:type="dxa" w:w="4873"/>
            <w:shd w:val="clear" w:color="auto" w:fill="EAF0F3"/>
          </w:tcPr>
          <w:p>
            <w:pPr>
              <w:spacing w:after="40"/>
            </w:pPr>
            <w:r/>
            <w:r>
              <w:rPr>
                <w:b/>
                <w:i w:val="0"/>
                <w:sz w:val="20"/>
              </w:rPr>
              <w:t>Ce que vous en faites</w:t>
            </w:r>
          </w:p>
        </w:tc>
      </w:tr>
      <w:tr>
        <w:tc>
          <w:tcPr>
            <w:tcW w:type="dxa" w:w="4873"/>
          </w:tcPr>
          <w:p>
            <w:pPr>
              <w:spacing w:after="40"/>
            </w:pPr>
            <w:r/>
            <w:r>
              <w:rPr>
                <w:b/>
                <w:i w:val="0"/>
                <w:sz w:val="20"/>
              </w:rPr>
              <w:t>01 Dossier de partenariat</w:t>
            </w:r>
          </w:p>
        </w:tc>
        <w:tc>
          <w:tcPr>
            <w:tcW w:type="dxa" w:w="4873"/>
          </w:tcPr>
          <w:p>
            <w:pPr>
              <w:spacing w:after="40"/>
            </w:pPr>
            <w:r/>
            <w:r>
              <w:rPr>
                <w:b w:val="0"/>
                <w:i w:val="0"/>
                <w:sz w:val="20"/>
              </w:rPr>
              <w:t>la pièce que le sponsor lit. Vous complétez ce que vous seuls savez, vous corrigez le texte s'il ne vous ressemble pas</w:t>
            </w:r>
          </w:p>
        </w:tc>
      </w:tr>
      <w:tr>
        <w:tc>
          <w:tcPr>
            <w:tcW w:type="dxa" w:w="4873"/>
          </w:tcPr>
          <w:p>
            <w:pPr>
              <w:spacing w:after="40"/>
            </w:pPr>
            <w:r/>
            <w:r>
              <w:rPr>
                <w:b/>
                <w:i w:val="0"/>
                <w:sz w:val="20"/>
              </w:rPr>
              <w:t>02 Lettre type de sollicitation</w:t>
            </w:r>
          </w:p>
        </w:tc>
        <w:tc>
          <w:tcPr>
            <w:tcW w:type="dxa" w:w="4873"/>
          </w:tcPr>
          <w:p>
            <w:pPr>
              <w:spacing w:after="40"/>
            </w:pPr>
            <w:r/>
            <w:r>
              <w:rPr>
                <w:b w:val="0"/>
                <w:i w:val="0"/>
                <w:sz w:val="20"/>
              </w:rPr>
              <w:t>vous la personnalisez destinataire par destinataire. Neuf paragraphes d'accroche sont proposés, vous en choisissez un selon le métier de la cible</w:t>
            </w:r>
          </w:p>
        </w:tc>
      </w:tr>
      <w:tr>
        <w:tc>
          <w:tcPr>
            <w:tcW w:type="dxa" w:w="4873"/>
          </w:tcPr>
          <w:p>
            <w:pPr>
              <w:spacing w:after="40"/>
            </w:pPr>
            <w:r/>
            <w:r>
              <w:rPr>
                <w:b/>
                <w:i w:val="0"/>
                <w:sz w:val="20"/>
              </w:rPr>
              <w:t>03 Messages, appels et relances</w:t>
            </w:r>
          </w:p>
        </w:tc>
        <w:tc>
          <w:tcPr>
            <w:tcW w:type="dxa" w:w="4873"/>
          </w:tcPr>
          <w:p>
            <w:pPr>
              <w:spacing w:after="40"/>
            </w:pPr>
            <w:r/>
            <w:r>
              <w:rPr>
                <w:b w:val="0"/>
                <w:i w:val="0"/>
                <w:sz w:val="20"/>
              </w:rPr>
              <w:t>le courriel de premier contact, le message WhatsApp, le script d'appel, le calendrier de relance et les réponses aux six objections courantes</w:t>
            </w:r>
          </w:p>
        </w:tc>
      </w:tr>
      <w:tr>
        <w:tc>
          <w:tcPr>
            <w:tcW w:type="dxa" w:w="4873"/>
          </w:tcPr>
          <w:p>
            <w:pPr>
              <w:spacing w:after="40"/>
            </w:pPr>
            <w:r/>
            <w:r>
              <w:rPr>
                <w:b/>
                <w:i w:val="0"/>
                <w:sz w:val="20"/>
              </w:rPr>
              <w:t>04 Convention de partenariat type</w:t>
            </w:r>
          </w:p>
        </w:tc>
        <w:tc>
          <w:tcPr>
            <w:tcW w:type="dxa" w:w="4873"/>
          </w:tcPr>
          <w:p>
            <w:pPr>
              <w:spacing w:after="40"/>
            </w:pPr>
            <w:r/>
            <w:r>
              <w:rPr>
                <w:b w:val="0"/>
                <w:i w:val="0"/>
                <w:sz w:val="20"/>
              </w:rPr>
              <w:t>le contrat que vous signez avec chaque partenaire. Un exemplaire par partenaire, seules les annexes changent</w:t>
            </w:r>
          </w:p>
        </w:tc>
      </w:tr>
      <w:tr>
        <w:tc>
          <w:tcPr>
            <w:tcW w:type="dxa" w:w="4873"/>
          </w:tcPr>
          <w:p>
            <w:pPr>
              <w:spacing w:after="40"/>
            </w:pPr>
            <w:r/>
            <w:r>
              <w:rPr>
                <w:b/>
                <w:i w:val="0"/>
                <w:sz w:val="20"/>
              </w:rPr>
              <w:t>05 Attestation de mandat à faire signer</w:t>
            </w:r>
          </w:p>
        </w:tc>
        <w:tc>
          <w:tcPr>
            <w:tcW w:type="dxa" w:w="4873"/>
          </w:tcPr>
          <w:p>
            <w:pPr>
              <w:spacing w:after="40"/>
            </w:pPr>
            <w:r/>
            <w:r>
              <w:rPr>
                <w:b w:val="0"/>
                <w:i w:val="0"/>
                <w:sz w:val="20"/>
              </w:rPr>
              <w:t>une page, à faire signer par Advantage Conseils. C'est elle qui vous autorise à démarcher</w:t>
            </w:r>
          </w:p>
        </w:tc>
      </w:tr>
      <w:tr>
        <w:tc>
          <w:tcPr>
            <w:tcW w:type="dxa" w:w="4873"/>
          </w:tcPr>
          <w:p>
            <w:pPr>
              <w:spacing w:after="40"/>
            </w:pPr>
            <w:r/>
            <w:r>
              <w:rPr>
                <w:b/>
                <w:i w:val="0"/>
                <w:sz w:val="20"/>
              </w:rPr>
              <w:t>06 Cibles et ordre de marche</w:t>
            </w:r>
          </w:p>
        </w:tc>
        <w:tc>
          <w:tcPr>
            <w:tcW w:type="dxa" w:w="4873"/>
          </w:tcPr>
          <w:p>
            <w:pPr>
              <w:spacing w:after="40"/>
            </w:pPr>
            <w:r/>
            <w:r>
              <w:rPr>
                <w:b w:val="0"/>
                <w:i w:val="0"/>
                <w:sz w:val="20"/>
              </w:rPr>
              <w:t>par quelles catégories commencer, l'angle à tenir, et qui décide chez elles</w:t>
            </w:r>
          </w:p>
        </w:tc>
      </w:tr>
    </w:tbl>
    <w:p>
      <w:pPr>
        <w:pStyle w:val="Heading1"/>
      </w:pPr>
      <w:r>
        <w:rPr>
          <w:b/>
          <w:i w:val="0"/>
        </w:rPr>
        <w:t>Ce que nous vous demandons de décider, vous, cette semaine</w:t>
      </w:r>
    </w:p>
    <w:p>
      <w:r>
        <w:rPr>
          <w:b w:val="0"/>
          <w:i w:val="0"/>
        </w:rPr>
        <w:t xml:space="preserve">Trois informations manquent au dossier et </w:t>
      </w:r>
      <w:r>
        <w:rPr>
          <w:b/>
          <w:i w:val="0"/>
        </w:rPr>
        <w:t>ne dépendent pas d'Advantage</w:t>
      </w:r>
      <w:r>
        <w:rPr>
          <w:b w:val="0"/>
          <w:i w:val="0"/>
        </w:rPr>
        <w:t>. Vous pouvez les trancher aujourd'hui.</w:t>
      </w:r>
    </w:p>
    <w:p>
      <w:pPr>
        <w:pStyle w:val="ListNumber"/>
        <w:spacing w:after="80"/>
      </w:pPr>
      <w:r>
        <w:rPr>
          <w:b/>
          <w:i w:val="0"/>
        </w:rPr>
        <w:t>La date d'arrêt des supports imprimés.</w:t>
      </w:r>
      <w:r>
        <w:rPr>
          <w:b w:val="0"/>
          <w:i w:val="0"/>
        </w:rPr>
        <w:t xml:space="preserve"> C'est elle qui fixe l'urgence réelle de la campagne, et elle est écrite dans la lettre comme dans la convention. Notre estimation, à corriger avec votre imprimeur : trois semaines avant l'événement, soit le 19 septembre.</w:t>
      </w:r>
    </w:p>
    <w:p>
      <w:pPr>
        <w:pStyle w:val="ListNumber"/>
        <w:spacing w:after="80"/>
      </w:pPr>
      <w:r>
        <w:rPr>
          <w:b/>
          <w:i w:val="0"/>
        </w:rPr>
        <w:t>Le délai de remise du compte rendu</w:t>
      </w:r>
      <w:r>
        <w:rPr>
          <w:b w:val="0"/>
          <w:i w:val="0"/>
        </w:rPr>
        <w:t xml:space="preserve"> à chaque partenaire après la soirée. C'est un engagement contractuel, article 12 de la convention. Vingt et un jours est un délai qui se tient.</w:t>
      </w:r>
    </w:p>
    <w:p>
      <w:pPr>
        <w:pStyle w:val="ListNumber"/>
        <w:spacing w:after="80"/>
      </w:pPr>
      <w:r>
        <w:rPr>
          <w:b/>
          <w:i w:val="0"/>
        </w:rPr>
        <w:t>Le nom, la fonction, le téléphone et le courriel du référent partenariats</w:t>
      </w:r>
      <w:r>
        <w:rPr>
          <w:b w:val="0"/>
          <w:i w:val="0"/>
        </w:rPr>
        <w:t xml:space="preserve"> chez vous. Un dossier sans interlocuteur nommé ne se traite pas.</w:t>
      </w:r>
    </w:p>
    <w:p>
      <w:pPr>
        <w:pStyle w:val="Heading1"/>
      </w:pPr>
      <w:r>
        <w:rPr>
          <w:b/>
          <w:i w:val="0"/>
        </w:rPr>
        <w:t>Ce qu'il faut obtenir d'Advantage, et pourquoi c'est urgent</w:t>
      </w:r>
    </w:p>
    <w:p>
      <w:r>
        <w:rPr>
          <w:b w:val="0"/>
          <w:i w:val="0"/>
        </w:rPr>
        <w:t xml:space="preserve">Six informations manquent, elles font partie des vingt-neuf restées vides depuis la séance technique du 7 août. Deux comptent bien plus que les autres, parce que ce sont </w:t>
      </w:r>
      <w:r>
        <w:rPr>
          <w:b/>
          <w:i w:val="0"/>
        </w:rPr>
        <w:t>les deux premières questions que pose un responsable de sponsoring</w:t>
      </w:r>
      <w:r>
        <w:rPr>
          <w:b w:val="0"/>
          <w:i w:val="0"/>
        </w:rPr>
        <w:t xml:space="preserve"> :</w:t>
      </w:r>
    </w:p>
    <w:p>
      <w:pPr>
        <w:pStyle w:val="ListBullet"/>
        <w:spacing w:after="80"/>
      </w:pPr>
      <w:r>
        <w:rPr>
          <w:b/>
          <w:i w:val="0"/>
        </w:rPr>
        <w:t>la jauge de la salle</w:t>
      </w:r>
      <w:r>
        <w:rPr>
          <w:b w:val="0"/>
          <w:i w:val="0"/>
        </w:rPr>
        <w:t xml:space="preserve"> ;</w:t>
      </w:r>
    </w:p>
    <w:p>
      <w:pPr>
        <w:pStyle w:val="ListBullet"/>
        <w:spacing w:after="80"/>
      </w:pPr>
      <w:r>
        <w:rPr>
          <w:b/>
          <w:i w:val="0"/>
        </w:rPr>
        <w:t>la fréquentation constatée de la première édition parisienne</w:t>
      </w:r>
      <w:r>
        <w:rPr>
          <w:b w:val="0"/>
          <w:i w:val="0"/>
        </w:rPr>
        <w:t>.</w:t>
      </w:r>
    </w:p>
    <w:p>
      <w:r>
        <w:rPr>
          <w:b w:val="0"/>
          <w:i w:val="0"/>
        </w:rPr>
        <w:t>Viennent ensuite : les horaires de la soirée, la communauté numérique du Festival avec le nombre d'abonnés par réseau, la programmation et sa tête d'affiche, et la grille tarifaire de la billetterie.</w:t>
      </w:r>
    </w:p>
    <w:p>
      <w:r>
        <w:rPr>
          <w:b w:val="0"/>
          <w:i w:val="0"/>
        </w:rPr>
        <w:t>Le dossier peut partir sans elles. Il partira faible. Un partenaire à qui l'on ne sait pas dire combien de personnes seront dans la salle comprend que l'événement n'est pas tenu, et ce n'est pas le cas.</w:t>
      </w:r>
    </w:p>
    <w:p>
      <w:pPr>
        <w:pStyle w:val="Heading1"/>
      </w:pPr>
      <w:r>
        <w:rPr>
          <w:b/>
          <w:i w:val="0"/>
        </w:rPr>
        <w:t>Deux choses à obtenir d'Advantage avant le premier envoi</w:t>
      </w:r>
    </w:p>
    <w:p>
      <w:r>
        <w:rPr>
          <w:b/>
          <w:i w:val="0"/>
        </w:rPr>
        <w:t>1. La signature de l'attestation de mandat</w:t>
      </w:r>
      <w:r>
        <w:rPr>
          <w:b w:val="0"/>
          <w:i w:val="0"/>
        </w:rPr>
        <w:t xml:space="preserve"> (document 05). Le sponsoring du Festival est démarché en central depuis Abidjan, sur des packages qui couvrent plusieurs éditions. Sans un écrit qui vous autorise à démarcher en France, vous engageriez des contreparties que vous n'avez pas le droit de promettre, et Advantage pourrait désavouer une convention déjà signée. Une page suffit, elle est prête, elle ne dit rien de vos honoraires et n'anticipe donc pas le mandat de production.</w:t>
      </w:r>
    </w:p>
    <w:p>
      <w:r>
        <w:rPr>
          <w:b/>
          <w:i w:val="0"/>
        </w:rPr>
        <w:t>2. La liste des comptes réservés</w:t>
      </w:r>
      <w:r>
        <w:rPr>
          <w:b w:val="0"/>
          <w:i w:val="0"/>
        </w:rPr>
        <w:t>, à demander à Stéphane ATTA, responsable des partenariats côté Advantage. Il s'agit de savoir quelles entreprises sont déjà engagées ou en négociation sur les accords multi-éditions, et si l'édition de Paris est déjà comprise dans leur package. Toute cible absente de cette liste est réputée libre, c'est écrit dans l'attestation. Sans cette règle, chaque approche demanderait une autorisation et la campagne ne partirait jamais.</w:t>
      </w:r>
    </w:p>
    <w:p>
      <w:r>
        <w:rPr>
          <w:b w:val="0"/>
          <w:i w:val="0"/>
        </w:rPr>
        <w:t>Un sponsor sollicité deux fois, par deux structures différentes, à dix jours d'intervalle, ne signe avec personne.</w:t>
      </w:r>
    </w:p>
    <w:p>
      <w:pPr>
        <w:pStyle w:val="Heading1"/>
      </w:pPr>
      <w:r>
        <w:rPr>
          <w:b/>
          <w:i w:val="0"/>
        </w:rPr>
        <w:t>La grille de montants n'est pas encore validée</w:t>
      </w:r>
    </w:p>
    <w:p>
      <w:r>
        <w:rPr>
          <w:b w:val="0"/>
          <w:i w:val="0"/>
        </w:rPr>
        <w:t xml:space="preserve">Les quatre formules et leurs montants sont une </w:t>
      </w:r>
      <w:r>
        <w:rPr>
          <w:b/>
          <w:i w:val="0"/>
        </w:rPr>
        <w:t>proposition</w:t>
      </w:r>
      <w:r>
        <w:rPr>
          <w:b w:val="0"/>
          <w:i w:val="0"/>
        </w:rPr>
        <w:t>. Advantage est propriétaire du concept et fixe les tarifs de son sponsoring : la grille doit lui être soumise avant le premier envoi. Sinon deux grilles circulent, et le premier partenaire qui compare Paris à un package d'Abidjan découvre un écart que personne ne saura expliquer.</w:t>
      </w:r>
    </w:p>
    <w:p>
      <w:r>
        <w:rPr>
          <w:b w:val="0"/>
          <w:i w:val="0"/>
        </w:rPr>
        <w:t xml:space="preserve">Une règle de négociation, en revanche, vaut d'être posée tout de suite : </w:t>
      </w:r>
      <w:r>
        <w:rPr>
          <w:b/>
          <w:i w:val="0"/>
        </w:rPr>
        <w:t>on ne baisse pas un montant, on descend de formule</w:t>
      </w:r>
      <w:r>
        <w:rPr>
          <w:b w:val="0"/>
          <w:i w:val="0"/>
        </w:rPr>
        <w:t>. Si le prix ne passe pas, on retire l'exclusivité, on retire le stand, ou on propose un partenariat en nature. Une exclusivité remisée détruit la grille pour tous les autres partenaires.</w:t>
      </w:r>
    </w:p>
    <w:p>
      <w:pPr>
        <w:pStyle w:val="Heading1"/>
      </w:pPr>
      <w:r>
        <w:rPr>
          <w:b/>
          <w:i w:val="0"/>
        </w:rPr>
        <w:t>Trois points juridiques relevés en rédigeant</w:t>
      </w:r>
    </w:p>
    <w:p>
      <w:r>
        <w:rPr>
          <w:b/>
          <w:i w:val="0"/>
        </w:rPr>
        <w:t>1. Le parrainage par une marque d'alcool est interdit en France.</w:t>
      </w:r>
      <w:r>
        <w:rPr>
          <w:b w:val="0"/>
          <w:i w:val="0"/>
        </w:rPr>
        <w:t xml:space="preserve"> L'article L.3323-2 du code de la santé publique interdit à un producteur, importateur ou distributeur de boissons alcooliques de parrainer un événement. Cela vise directement la piste de dépôt-vente avec une marque de champagne évoquée en séance technique : elle peut exister comme contrat de fourniture ou de vente sur site, pas comme package de visibilité. À faire confirmer par un juriste avant tout engagement.</w:t>
      </w:r>
    </w:p>
    <w:p>
      <w:r>
        <w:rPr>
          <w:b/>
          <w:i w:val="0"/>
        </w:rPr>
        <w:t>2. Vous encaissez pour le compte d'Advantage, et cela doit être écrit.</w:t>
      </w:r>
      <w:r>
        <w:rPr>
          <w:b w:val="0"/>
          <w:i w:val="0"/>
        </w:rPr>
        <w:t xml:space="preserve"> L'attestation le mentionne expressément. Sans cette mention, chaque euro de sponsoring encaissé est traité comme votre propre chiffre d'affaires, et imposé comme tel, alors qu'il ne vous appartient pas.</w:t>
      </w:r>
    </w:p>
    <w:p>
      <w:r>
        <w:rPr>
          <w:b/>
          <w:i w:val="0"/>
        </w:rPr>
        <w:t>3. La TVA reste à confirmer par votre comptable</w:t>
      </w:r>
      <w:r>
        <w:rPr>
          <w:b w:val="0"/>
          <w:i w:val="0"/>
        </w:rPr>
        <w:t>, sur deux questions distinctes : le taux applicable à une prestation de parrainage rendue à un preneur établi en France, et le traitement des sommes encaissées pour le compte d'Advantage. Un écart de vingt pour cent ne se rattrape pas après l'événement.</w:t>
      </w:r>
    </w:p>
    <w:p>
      <w:pPr>
        <w:pStyle w:val="Heading1"/>
      </w:pPr>
      <w:r>
        <w:rPr>
          <w:b/>
          <w:i w:val="0"/>
        </w:rPr>
        <w:t>Le calendrier, à rebours du 11 octobre</w:t>
      </w:r>
    </w:p>
    <w:tbl>
      <w:tblPr>
        <w:tblStyle w:val="TableGrid"/>
        <w:tblW w:type="auto" w:w="0"/>
        <w:jc w:val="left"/>
        <w:tblLayout w:type="autofit"/>
        <w:tblLook w:firstColumn="1" w:firstRow="1" w:lastColumn="0" w:lastRow="0" w:noHBand="0" w:noVBand="1" w:val="04A0"/>
      </w:tblPr>
      <w:tblGrid>
        <w:gridCol w:w="4873"/>
        <w:gridCol w:w="4873"/>
      </w:tblGrid>
      <w:tr>
        <w:trPr>
          <w:tblHeader w:val="true"/>
        </w:trPr>
        <w:tc>
          <w:tcPr>
            <w:tcW w:type="dxa" w:w="4873"/>
            <w:shd w:val="clear" w:color="auto" w:fill="EAF0F3"/>
          </w:tcPr>
          <w:p>
            <w:pPr>
              <w:spacing w:after="40"/>
            </w:pPr>
            <w:r/>
            <w:r>
              <w:rPr>
                <w:b/>
                <w:i w:val="0"/>
                <w:sz w:val="20"/>
              </w:rPr>
              <w:t>Quand</w:t>
            </w:r>
          </w:p>
        </w:tc>
        <w:tc>
          <w:tcPr>
            <w:tcW w:type="dxa" w:w="4873"/>
            <w:shd w:val="clear" w:color="auto" w:fill="EAF0F3"/>
          </w:tcPr>
          <w:p>
            <w:pPr>
              <w:spacing w:after="40"/>
            </w:pPr>
            <w:r/>
            <w:r>
              <w:rPr>
                <w:b/>
                <w:i w:val="0"/>
                <w:sz w:val="20"/>
              </w:rPr>
              <w:t>Quoi</w:t>
            </w:r>
          </w:p>
        </w:tc>
      </w:tr>
      <w:tr>
        <w:tc>
          <w:tcPr>
            <w:tcW w:type="dxa" w:w="4873"/>
          </w:tcPr>
          <w:p>
            <w:pPr>
              <w:spacing w:after="40"/>
            </w:pPr>
            <w:r/>
            <w:r>
              <w:rPr>
                <w:b w:val="0"/>
                <w:i w:val="0"/>
                <w:sz w:val="20"/>
              </w:rPr>
              <w:t>cette semaine</w:t>
            </w:r>
          </w:p>
        </w:tc>
        <w:tc>
          <w:tcPr>
            <w:tcW w:type="dxa" w:w="4873"/>
          </w:tcPr>
          <w:p>
            <w:pPr>
              <w:spacing w:after="40"/>
            </w:pPr>
            <w:r/>
            <w:r>
              <w:rPr>
                <w:b w:val="0"/>
                <w:i w:val="0"/>
                <w:sz w:val="20"/>
              </w:rPr>
              <w:t>vos trois décisions, l'attestation signée, la jauge et la fréquentation demandées</w:t>
            </w:r>
          </w:p>
        </w:tc>
      </w:tr>
      <w:tr>
        <w:tc>
          <w:tcPr>
            <w:tcW w:type="dxa" w:w="4873"/>
          </w:tcPr>
          <w:p>
            <w:pPr>
              <w:spacing w:after="40"/>
            </w:pPr>
            <w:r/>
            <w:r>
              <w:rPr>
                <w:b w:val="0"/>
                <w:i w:val="0"/>
                <w:sz w:val="20"/>
              </w:rPr>
              <w:t>semaine du 24 août</w:t>
            </w:r>
          </w:p>
        </w:tc>
        <w:tc>
          <w:tcPr>
            <w:tcW w:type="dxa" w:w="4873"/>
          </w:tcPr>
          <w:p>
            <w:pPr>
              <w:spacing w:after="40"/>
            </w:pPr>
            <w:r/>
            <w:r>
              <w:rPr>
                <w:b w:val="0"/>
                <w:i w:val="0"/>
                <w:sz w:val="20"/>
              </w:rPr>
              <w:t>premiers envois : médias et ville d'accueil, pour la crédibilité</w:t>
            </w:r>
          </w:p>
        </w:tc>
      </w:tr>
      <w:tr>
        <w:tc>
          <w:tcPr>
            <w:tcW w:type="dxa" w:w="4873"/>
          </w:tcPr>
          <w:p>
            <w:pPr>
              <w:spacing w:after="40"/>
            </w:pPr>
            <w:r/>
            <w:r>
              <w:rPr>
                <w:b w:val="0"/>
                <w:i w:val="0"/>
                <w:sz w:val="20"/>
              </w:rPr>
              <w:t>semaine du 31 août</w:t>
            </w:r>
          </w:p>
        </w:tc>
        <w:tc>
          <w:tcPr>
            <w:tcW w:type="dxa" w:w="4873"/>
          </w:tcPr>
          <w:p>
            <w:pPr>
              <w:spacing w:after="40"/>
            </w:pPr>
            <w:r/>
            <w:r>
              <w:rPr>
                <w:b w:val="0"/>
                <w:i w:val="0"/>
                <w:sz w:val="20"/>
              </w:rPr>
              <w:t>transfert d'argent, téléphonie, assurance, aérien</w:t>
            </w:r>
          </w:p>
        </w:tc>
      </w:tr>
      <w:tr>
        <w:tc>
          <w:tcPr>
            <w:tcW w:type="dxa" w:w="4873"/>
          </w:tcPr>
          <w:p>
            <w:pPr>
              <w:spacing w:after="40"/>
            </w:pPr>
            <w:r/>
            <w:r>
              <w:rPr>
                <w:b w:val="0"/>
                <w:i w:val="0"/>
                <w:sz w:val="20"/>
              </w:rPr>
              <w:t>en continu</w:t>
            </w:r>
          </w:p>
        </w:tc>
        <w:tc>
          <w:tcPr>
            <w:tcW w:type="dxa" w:w="4873"/>
          </w:tcPr>
          <w:p>
            <w:pPr>
              <w:spacing w:after="40"/>
            </w:pPr>
            <w:r/>
            <w:r>
              <w:rPr>
                <w:b w:val="0"/>
                <w:i w:val="0"/>
                <w:sz w:val="20"/>
              </w:rPr>
              <w:t>commerces et entreprises de la communauté, par WhatsApp et recommandation</w:t>
            </w:r>
          </w:p>
        </w:tc>
      </w:tr>
      <w:tr>
        <w:tc>
          <w:tcPr>
            <w:tcW w:type="dxa" w:w="4873"/>
          </w:tcPr>
          <w:p>
            <w:pPr>
              <w:spacing w:after="40"/>
            </w:pPr>
            <w:r/>
            <w:r>
              <w:rPr>
                <w:b w:val="0"/>
                <w:i w:val="0"/>
                <w:sz w:val="20"/>
              </w:rPr>
              <w:t>relances</w:t>
            </w:r>
          </w:p>
        </w:tc>
        <w:tc>
          <w:tcPr>
            <w:tcW w:type="dxa" w:w="4873"/>
          </w:tcPr>
          <w:p>
            <w:pPr>
              <w:spacing w:after="40"/>
            </w:pPr>
            <w:r/>
            <w:r>
              <w:rPr>
                <w:b w:val="0"/>
                <w:i w:val="0"/>
                <w:sz w:val="20"/>
              </w:rPr>
              <w:t>appel à J+3, écrit à J+7, relance de clôture à J+12</w:t>
            </w:r>
          </w:p>
        </w:tc>
      </w:tr>
      <w:tr>
        <w:tc>
          <w:tcPr>
            <w:tcW w:type="dxa" w:w="4873"/>
          </w:tcPr>
          <w:p>
            <w:pPr>
              <w:spacing w:after="40"/>
            </w:pPr>
            <w:r/>
            <w:r>
              <w:rPr>
                <w:b/>
                <w:i w:val="0"/>
                <w:sz w:val="20"/>
              </w:rPr>
              <w:t>19 septembre</w:t>
            </w:r>
          </w:p>
        </w:tc>
        <w:tc>
          <w:tcPr>
            <w:tcW w:type="dxa" w:w="4873"/>
          </w:tcPr>
          <w:p>
            <w:pPr>
              <w:spacing w:after="40"/>
            </w:pPr>
            <w:r/>
            <w:r>
              <w:rPr>
                <w:b/>
                <w:i w:val="0"/>
                <w:sz w:val="20"/>
              </w:rPr>
              <w:t>dernier jour utile pour signer et figurer sur les supports imprimés</w:t>
            </w:r>
          </w:p>
        </w:tc>
      </w:tr>
      <w:tr>
        <w:tc>
          <w:tcPr>
            <w:tcW w:type="dxa" w:w="4873"/>
          </w:tcPr>
          <w:p>
            <w:pPr>
              <w:spacing w:after="40"/>
            </w:pPr>
            <w:r/>
            <w:r>
              <w:rPr>
                <w:b w:val="0"/>
                <w:i w:val="0"/>
                <w:sz w:val="20"/>
              </w:rPr>
              <w:t>jusqu'au 5 octobre</w:t>
            </w:r>
          </w:p>
        </w:tc>
        <w:tc>
          <w:tcPr>
            <w:tcW w:type="dxa" w:w="4873"/>
          </w:tcPr>
          <w:p>
            <w:pPr>
              <w:spacing w:after="40"/>
            </w:pPr>
            <w:r/>
            <w:r>
              <w:rPr>
                <w:b w:val="0"/>
                <w:i w:val="0"/>
                <w:sz w:val="20"/>
              </w:rPr>
              <w:t>signatures encore possibles, contreparties numériques et sur site seulement</w:t>
            </w:r>
          </w:p>
        </w:tc>
      </w:tr>
      <w:tr>
        <w:tc>
          <w:tcPr>
            <w:tcW w:type="dxa" w:w="4873"/>
          </w:tcPr>
          <w:p>
            <w:pPr>
              <w:spacing w:after="40"/>
            </w:pPr>
            <w:r/>
            <w:r>
              <w:rPr>
                <w:b w:val="0"/>
                <w:i w:val="0"/>
                <w:sz w:val="20"/>
              </w:rPr>
              <w:t>11 octobre</w:t>
            </w:r>
          </w:p>
        </w:tc>
        <w:tc>
          <w:tcPr>
            <w:tcW w:type="dxa" w:w="4873"/>
          </w:tcPr>
          <w:p>
            <w:pPr>
              <w:spacing w:after="40"/>
            </w:pPr>
            <w:r/>
            <w:r>
              <w:rPr>
                <w:b w:val="0"/>
                <w:i w:val="0"/>
                <w:sz w:val="20"/>
              </w:rPr>
              <w:t>l'événement</w:t>
            </w:r>
          </w:p>
        </w:tc>
      </w:tr>
      <w:tr>
        <w:tc>
          <w:tcPr>
            <w:tcW w:type="dxa" w:w="4873"/>
          </w:tcPr>
          <w:p>
            <w:pPr>
              <w:spacing w:after="40"/>
            </w:pPr>
            <w:r/>
            <w:r>
              <w:rPr>
                <w:b w:val="0"/>
                <w:i w:val="0"/>
                <w:sz w:val="20"/>
              </w:rPr>
              <w:t>dans le délai que vous fixez</w:t>
            </w:r>
          </w:p>
        </w:tc>
        <w:tc>
          <w:tcPr>
            <w:tcW w:type="dxa" w:w="4873"/>
          </w:tcPr>
          <w:p>
            <w:pPr>
              <w:spacing w:after="40"/>
            </w:pPr>
            <w:r/>
            <w:r>
              <w:rPr>
                <w:b w:val="0"/>
                <w:i w:val="0"/>
                <w:sz w:val="20"/>
              </w:rPr>
              <w:t>comptes rendus remis aux partenaires</w:t>
            </w:r>
          </w:p>
        </w:tc>
      </w:tr>
    </w:tbl>
    <w:p>
      <w:r>
        <w:rPr>
          <w:b w:val="0"/>
          <w:i w:val="0"/>
        </w:rPr>
        <w:t xml:space="preserve">Il reste </w:t>
      </w:r>
      <w:r>
        <w:rPr>
          <w:b/>
          <w:i w:val="0"/>
        </w:rPr>
        <w:t>quatre semaines effectives</w:t>
      </w:r>
      <w:r>
        <w:rPr>
          <w:b w:val="0"/>
          <w:i w:val="0"/>
        </w:rPr>
        <w:t xml:space="preserve"> de démarchage. C'est court pour un grand compte, dont le cycle de décision est de six à dix semaines comité compris. Ce qui peut se signer d'ici le 11 octobre, ce sont les décisions à un seul décideur : les entreprises de la communauté, les promoteurs, et les partenariats en nature. Le partenaire officiel avec exclusivité est un actif construit pour 2027, et le dossier permettra de l'attaquer dès janvier, avec neuf mois devant soi.</w:t>
      </w:r>
    </w:p>
    <w:p>
      <w:pPr>
        <w:pStyle w:val="Heading1"/>
      </w:pPr>
      <w:r>
        <w:rPr>
          <w:b/>
          <w:i w:val="0"/>
        </w:rPr>
        <w:t>Une précision sur le dossier de partenariat</w:t>
      </w:r>
    </w:p>
    <w:p>
      <w:r>
        <w:rPr>
          <w:b w:val="0"/>
          <w:i w:val="0"/>
        </w:rPr>
        <w:t xml:space="preserve">Le document 01 vous est remis en Word pour que vous puissiez </w:t>
      </w:r>
      <w:r>
        <w:rPr>
          <w:b/>
          <w:i w:val="0"/>
        </w:rPr>
        <w:t>écrire dedans, corriger et compléter</w:t>
      </w:r>
      <w:r>
        <w:rPr>
          <w:b w:val="0"/>
          <w:i w:val="0"/>
        </w:rPr>
        <w:t>. Sa version finale, celle qui part chez un sponsor, se refait ensuite dans sa mise en page d'origine et se transmet en PDF. Un dossier de partenariat est un support de vente : la forme y compte autant que le texte, et un Word retouché ne produit pas le même effet.</w:t>
      </w:r>
    </w:p>
    <w:p>
      <w:r>
        <w:rPr>
          <w:b w:val="0"/>
          <w:i w:val="0"/>
        </w:rPr>
        <w:t>Renvoyez-nous donc vos corrections dans le Word, nous vous rendons le PDF prêt à envoyer.</w:t>
      </w:r>
    </w:p>
    <w:p>
      <w:pPr>
        <w:pStyle w:val="Heading1"/>
      </w:pPr>
      <w:r>
        <w:rPr>
          <w:b/>
          <w:i w:val="0"/>
        </w:rPr>
        <w:t>Ce qui reste à faire de notre côté</w:t>
      </w:r>
    </w:p>
    <w:p>
      <w:pPr>
        <w:pStyle w:val="ListBullet"/>
        <w:spacing w:after="80"/>
      </w:pPr>
      <w:r>
        <w:rPr>
          <w:b w:val="0"/>
          <w:i w:val="0"/>
        </w:rPr>
        <w:t xml:space="preserve">Le </w:t>
      </w:r>
      <w:r>
        <w:rPr>
          <w:b/>
          <w:i w:val="0"/>
        </w:rPr>
        <w:t>compte rendu type d'après-festival</w:t>
      </w:r>
      <w:r>
        <w:rPr>
          <w:b w:val="0"/>
          <w:i w:val="0"/>
        </w:rPr>
        <w:t>, promis à l'article 12 de la convention. Il se prépare avant l'événement, parce que ce qui doit être mesuré doit être décidé maintenant.</w:t>
      </w:r>
    </w:p>
    <w:p>
      <w:pPr>
        <w:pStyle w:val="ListBullet"/>
        <w:spacing w:after="80"/>
      </w:pPr>
      <w:r>
        <w:rPr>
          <w:b w:val="0"/>
          <w:i w:val="0"/>
        </w:rPr>
        <w:t xml:space="preserve">La </w:t>
      </w:r>
      <w:r>
        <w:rPr>
          <w:b/>
          <w:i w:val="0"/>
        </w:rPr>
        <w:t>mise en page finale du dossier</w:t>
      </w:r>
      <w:r>
        <w:rPr>
          <w:b w:val="0"/>
          <w:i w:val="0"/>
        </w:rPr>
        <w:t xml:space="preserve"> dès que les informations manquantes nous parviennent.</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4837C"/>
        <w:sz w:val="17"/>
      </w:rPr>
      <w:t>Document de travail, version du 19 aout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A18"/>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i w:val="0"/>
      <w:color w:val="2F4858"/>
      <w:sz w:val="30"/>
      <w:szCs w:val="28"/>
      <w:lang w:val="fr-FR"/>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i w:val="0"/>
      <w:color w:val="2F4858"/>
      <w:sz w:val="25"/>
      <w:szCs w:val="26"/>
      <w:lang w:val="fr-FR"/>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1A1A18"/>
      <w:sz w:val="23"/>
      <w:lang w:val="fr-F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i w:val="0"/>
      <w:color w:val="2F4858"/>
      <w:spacing w:val="5"/>
      <w:kern w:val="28"/>
      <w:sz w:val="44"/>
      <w:szCs w:val="52"/>
      <w:lang w:val="fr-F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Campagne de sponsoring, edition de Paris</dc:title>
  <dc:subject/>
  <dc:creator>Agence Mr Attractor</dc:creator>
  <cp:keywords/>
  <dc:description>Document de travail modifiable. Festival des Grillades de Paris 2026.</dc:description>
  <cp:lastModifiedBy>Agence Mr Attractor</cp:lastModifiedBy>
  <cp:revision>1</cp:revision>
  <dcterms:created xsi:type="dcterms:W3CDTF">2013-12-23T23:15:00Z</dcterms:created>
  <dcterms:modified xsi:type="dcterms:W3CDTF">2013-12-23T23:15:00Z</dcterms:modified>
  <cp:category/>
</cp:coreProperties>
</file>