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Messages, appels et relances</w:t>
      </w:r>
    </w:p>
    <w:p>
      <w:pPr>
        <w:spacing w:after="280"/>
      </w:pPr>
      <w:r>
        <w:rPr>
          <w:color w:val="84837C"/>
          <w:sz w:val="23"/>
        </w:rPr>
        <w:t>Tout ce qui se dit avant le rendez-vous</w:t>
      </w:r>
    </w:p>
    <w:p>
      <w:pPr>
        <w:shd w:val="clear" w:color="auto" w:fill="FBEEEC"/>
        <w:spacing w:before="80" w:after="280"/>
        <w:pBdr>
          <w:top w:val="single" w:sz="6" w:space="6" w:color="8C3A32"/>
          <w:left w:val="single" w:sz="6" w:space="6" w:color="8C3A32"/>
          <w:bottom w:val="single" w:sz="6" w:space="6" w:color="8C3A32"/>
          <w:right w:val="single" w:sz="6" w:space="6" w:color="8C3A32"/>
        </w:pBdr>
      </w:pPr>
      <w:r>
        <w:rPr>
          <w:b/>
          <w:color w:val="8C3A32"/>
          <w:sz w:val="21"/>
        </w:rPr>
        <w:t>Le dossier de partenariat ne s'envoie jamais en piece jointe d'un premier message froid. On obtient d'abord un echange.</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 xml:space="preserve">Tout ce qui se dit avant le rendez-vous. Le courrier officiel sert quand on a un nom et une adresse. Dans les faits, un partenariat se décroche par un message court, un appel, puis un rendez-vous. Le dossier ne s'envoie </w:t>
      </w:r>
      <w:r>
        <w:rPr>
          <w:b/>
          <w:i w:val="0"/>
          <w:color w:val="3D3D39"/>
          <w:sz w:val="21"/>
        </w:rPr>
        <w:t>qu'après</w:t>
      </w:r>
      <w:r>
        <w:rPr>
          <w:b w:val="0"/>
          <w:i w:val="0"/>
          <w:color w:val="3D3D39"/>
          <w:sz w:val="21"/>
        </w:rPr>
        <w:t xml:space="preserve"> avoir obtenu de l'attention, jamais en pièce jointe d'un premier message froid.</w:t>
      </w:r>
    </w:p>
    <w:p>
      <w:pPr>
        <w:spacing w:before="40" w:after="160"/>
        <w:pBdr>
          <w:bottom w:val="single" w:sz="6" w:space="1" w:color="D2CFC8"/>
        </w:pBdr>
      </w:pPr>
    </w:p>
    <w:p>
      <w:pPr>
        <w:pStyle w:val="Heading1"/>
      </w:pPr>
      <w:r>
        <w:rPr>
          <w:b/>
          <w:i w:val="0"/>
        </w:rPr>
        <w:t>1. Courriel de premier contact</w:t>
      </w:r>
    </w:p>
    <w:p>
      <w:r>
        <w:rPr>
          <w:b w:val="0"/>
          <w:i w:val="0"/>
        </w:rPr>
        <w:t xml:space="preserve">Objet : </w:t>
      </w:r>
      <w:r>
        <w:rPr>
          <w:b/>
          <w:i w:val="0"/>
        </w:rPr>
        <w:t>Festival des Grillades, édition de Paris, 11 octobre, partenariat</w:t>
      </w:r>
    </w:p>
    <w:p>
      <w:pPr>
        <w:spacing w:after="120" w:before="120" w:line="276" w:lineRule="auto"/>
        <w:ind w:left="397" w:right="170"/>
        <w:shd w:val="clear" w:color="auto" w:fill="F7F6F4"/>
      </w:pPr>
      <w:r>
        <w:rPr>
          <w:b w:val="0"/>
          <w:i w:val="0"/>
          <w:sz w:val="21"/>
        </w:rPr>
        <w:t xml:space="preserve">Bonjour </w:t>
      </w:r>
      <w:r>
        <w:rPr>
          <w:b/>
          <w:i w:val="0"/>
          <w:sz w:val="21"/>
          <w:highlight w:val="yellow"/>
        </w:rPr>
        <w:t>[Prénom]</w:t>
      </w:r>
      <w:r>
        <w:rPr>
          <w:b w:val="0"/>
          <w:i w:val="0"/>
          <w:sz w:val="21"/>
        </w:rPr>
        <w:t>,</w:t>
      </w:r>
    </w:p>
    <w:p>
      <w:pPr>
        <w:spacing w:after="120" w:before="0" w:line="276" w:lineRule="auto"/>
        <w:ind w:left="397" w:right="170"/>
        <w:shd w:val="clear" w:color="auto" w:fill="F7F6F4"/>
      </w:pPr>
      <w:r>
        <w:rPr>
          <w:b w:val="0"/>
          <w:i w:val="0"/>
          <w:sz w:val="21"/>
        </w:rPr>
        <w:t>Le Festival des Grillades se tient à Abidjan chaque année depuis 2008. Le 11 octobre, il fait sa deuxième édition parisienne, à Bobigny : une soirée autour de la cuisine ivoirienne, avec un plateau d'artistes, pour la diaspora d'Île-de-France.</w:t>
      </w:r>
    </w:p>
    <w:p>
      <w:pPr>
        <w:spacing w:after="120" w:before="0" w:line="276" w:lineRule="auto"/>
        <w:ind w:left="397" w:right="170"/>
        <w:shd w:val="clear" w:color="auto" w:fill="F7F6F4"/>
      </w:pPr>
      <w:r>
        <w:rPr>
          <w:b w:val="0"/>
          <w:i w:val="0"/>
          <w:sz w:val="21"/>
        </w:rPr>
        <w:t xml:space="preserve">Nous produisons cette édition pour le compte de l'organisateur et nous constituons le cercle de ses partenaires. Je pense à </w:t>
      </w:r>
      <w:r>
        <w:rPr>
          <w:b/>
          <w:i w:val="0"/>
          <w:sz w:val="21"/>
          <w:highlight w:val="yellow"/>
        </w:rPr>
        <w:t>[entreprise]</w:t>
      </w:r>
      <w:r>
        <w:rPr>
          <w:b w:val="0"/>
          <w:i w:val="0"/>
          <w:sz w:val="21"/>
        </w:rPr>
        <w:t xml:space="preserve"> pour une raison précise : </w:t>
      </w:r>
      <w:r>
        <w:rPr>
          <w:b/>
          <w:i w:val="0"/>
          <w:sz w:val="21"/>
          <w:highlight w:val="yellow"/>
        </w:rPr>
        <w:t>[la raison, en une phrase, sur son client à lui]</w:t>
      </w:r>
      <w:r>
        <w:rPr>
          <w:b w:val="0"/>
          <w:i w:val="0"/>
          <w:sz w:val="21"/>
        </w:rPr>
        <w:t>.</w:t>
      </w:r>
    </w:p>
    <w:p>
      <w:pPr>
        <w:spacing w:after="120" w:before="0" w:line="276" w:lineRule="auto"/>
        <w:ind w:left="397" w:right="170"/>
        <w:shd w:val="clear" w:color="auto" w:fill="F7F6F4"/>
      </w:pPr>
      <w:r>
        <w:rPr>
          <w:b w:val="0"/>
          <w:i w:val="0"/>
          <w:sz w:val="21"/>
        </w:rPr>
        <w:t>Est-ce qu'un échange de vingt minutes cette semaine ou la prochaine vous intéresse ? Je vous montre ce que la soirée permet de faire pour une marque comme la vôtre, et vous me dites si c'est votre sujet.</w:t>
      </w:r>
    </w:p>
    <w:p>
      <w:pPr>
        <w:spacing w:after="120" w:before="0" w:line="276" w:lineRule="auto"/>
        <w:ind w:left="397" w:right="170"/>
        <w:shd w:val="clear" w:color="auto" w:fill="F7F6F4"/>
      </w:pPr>
      <w:r>
        <w:rPr>
          <w:b w:val="0"/>
          <w:i w:val="0"/>
          <w:sz w:val="21"/>
        </w:rPr>
        <w:t>Bien à vous,</w:t>
      </w:r>
    </w:p>
    <w:p>
      <w:pPr>
        <w:spacing w:after="120" w:before="0" w:line="276" w:lineRule="auto"/>
        <w:ind w:left="397" w:right="170"/>
        <w:shd w:val="clear" w:color="auto" w:fill="F7F6F4"/>
      </w:pPr>
      <w:r>
        <w:rPr>
          <w:b/>
          <w:i w:val="0"/>
          <w:sz w:val="21"/>
          <w:highlight w:val="yellow"/>
        </w:rPr>
        <w:t>[Nom]</w:t>
      </w:r>
      <w:r>
        <w:rPr>
          <w:b w:val="0"/>
          <w:i w:val="0"/>
          <w:sz w:val="21"/>
        </w:rPr>
        <w:t>, Thim Production, production déléguée de l'édition parisienne</w:t>
      </w:r>
    </w:p>
    <w:p>
      <w:pPr>
        <w:spacing w:after="120" w:before="0" w:line="276" w:lineRule="auto"/>
        <w:ind w:left="397" w:right="170"/>
        <w:shd w:val="clear" w:color="auto" w:fill="F7F6F4"/>
      </w:pPr>
      <w:r>
        <w:rPr>
          <w:b/>
          <w:i w:val="0"/>
          <w:sz w:val="21"/>
          <w:highlight w:val="yellow"/>
        </w:rPr>
        <w:t>[téléphone]</w:t>
      </w:r>
    </w:p>
    <w:p>
      <w:r>
        <w:rPr>
          <w:b/>
          <w:i w:val="0"/>
        </w:rPr>
        <w:t>Pourquoi il est comme ça.</w:t>
      </w:r>
      <w:r>
        <w:rPr>
          <w:b w:val="0"/>
          <w:i w:val="0"/>
        </w:rPr>
        <w:t xml:space="preserve"> Il ne demande pas d'argent, il demande vingt minutes. Il ne joint rien, donc rien ne se lit en diagonale avant que l'argument soit posé. Et il contient une phrase qui ne peut pas être copiée-collée d'un destinataire à l'autre : c'est elle qui fait répondre.</w:t>
      </w:r>
    </w:p>
    <w:p>
      <w:pPr>
        <w:spacing w:before="40" w:after="160"/>
        <w:pBdr>
          <w:bottom w:val="single" w:sz="6" w:space="1" w:color="D2CFC8"/>
        </w:pBdr>
      </w:pPr>
    </w:p>
    <w:p>
      <w:pPr>
        <w:pStyle w:val="Heading1"/>
      </w:pPr>
      <w:r>
        <w:rPr>
          <w:b/>
          <w:i w:val="0"/>
        </w:rPr>
        <w:t>2. Message WhatsApp ou LinkedIn</w:t>
      </w:r>
    </w:p>
    <w:p>
      <w:r>
        <w:rPr>
          <w:b w:val="0"/>
          <w:i w:val="0"/>
        </w:rPr>
        <w:t>Pour les dirigeants de PME et de commerces de la communauté, c'est le canal réel. Deux messages, jamais un pavé.</w:t>
      </w:r>
    </w:p>
    <w:p>
      <w:pPr>
        <w:spacing w:after="120" w:before="120" w:line="276" w:lineRule="auto"/>
        <w:ind w:left="397" w:right="170"/>
        <w:shd w:val="clear" w:color="auto" w:fill="F7F6F4"/>
      </w:pPr>
      <w:r>
        <w:rPr>
          <w:b w:val="0"/>
          <w:i w:val="0"/>
          <w:sz w:val="21"/>
        </w:rPr>
        <w:t xml:space="preserve">Bonjour </w:t>
      </w:r>
      <w:r>
        <w:rPr>
          <w:b/>
          <w:i w:val="0"/>
          <w:sz w:val="21"/>
          <w:highlight w:val="yellow"/>
        </w:rPr>
        <w:t>[Prénom]</w:t>
      </w:r>
      <w:r>
        <w:rPr>
          <w:b w:val="0"/>
          <w:i w:val="0"/>
          <w:sz w:val="21"/>
        </w:rPr>
        <w:t xml:space="preserve">, </w:t>
      </w:r>
      <w:r>
        <w:rPr>
          <w:b/>
          <w:i w:val="0"/>
          <w:sz w:val="21"/>
          <w:highlight w:val="yellow"/>
        </w:rPr>
        <w:t>[Nom]</w:t>
      </w:r>
      <w:r>
        <w:rPr>
          <w:b w:val="0"/>
          <w:i w:val="0"/>
          <w:sz w:val="21"/>
        </w:rPr>
        <w:t xml:space="preserve"> de Thim Production. Nous produisons l'édition parisienne du Festival des Grillades, le 11 octobre à Bobigny, 2e édition. Nous cherchons des partenaires côté France.</w:t>
      </w:r>
    </w:p>
    <w:p>
      <w:pPr>
        <w:spacing w:after="120" w:before="120" w:line="276" w:lineRule="auto"/>
        <w:ind w:left="397" w:right="170"/>
        <w:shd w:val="clear" w:color="auto" w:fill="F7F6F4"/>
      </w:pPr>
      <w:r>
        <w:rPr>
          <w:b w:val="0"/>
          <w:i w:val="0"/>
          <w:sz w:val="21"/>
        </w:rPr>
        <w:t xml:space="preserve">Je pense à vous parce que </w:t>
      </w:r>
      <w:r>
        <w:rPr>
          <w:b/>
          <w:i w:val="0"/>
          <w:sz w:val="21"/>
          <w:highlight w:val="yellow"/>
        </w:rPr>
        <w:t>[raison en une ligne]</w:t>
      </w:r>
      <w:r>
        <w:rPr>
          <w:b w:val="0"/>
          <w:i w:val="0"/>
          <w:sz w:val="21"/>
        </w:rPr>
        <w:t>. Vous avez 15 minutes cette semaine pour que je vous explique ? Si ce n'est pas le moment, dites-le moi franchement, je n'insiste pas.</w:t>
      </w:r>
    </w:p>
    <w:p>
      <w:r>
        <w:rPr>
          <w:b w:val="0"/>
          <w:i w:val="0"/>
        </w:rPr>
        <w:t>La deuxième phrase du deuxième message fait plus pour le taux de réponse que tout le reste. Une porte de sortie offerte fait répondre ceux qui, sinon, ne répondent jamais.</w:t>
      </w:r>
    </w:p>
    <w:p>
      <w:pPr>
        <w:spacing w:before="40" w:after="160"/>
        <w:pBdr>
          <w:bottom w:val="single" w:sz="6" w:space="1" w:color="D2CFC8"/>
        </w:pBdr>
      </w:pPr>
    </w:p>
    <w:p>
      <w:pPr>
        <w:pStyle w:val="Heading1"/>
      </w:pPr>
      <w:r>
        <w:rPr>
          <w:b/>
          <w:i w:val="0"/>
        </w:rPr>
        <w:t>3. Script d'appel, quatre-vingt-dix secondes</w:t>
      </w:r>
    </w:p>
    <w:p>
      <w:r>
        <w:rPr>
          <w:b/>
          <w:i w:val="0"/>
        </w:rPr>
        <w:t>Ouverture, 10 secondes.</w:t>
      </w:r>
      <w:r>
        <w:rPr>
          <w:b w:val="0"/>
          <w:i w:val="0"/>
        </w:rPr>
        <w:t xml:space="preserve"> « Bonjour </w:t>
      </w:r>
      <w:r>
        <w:rPr>
          <w:b/>
          <w:i w:val="0"/>
          <w:highlight w:val="yellow"/>
        </w:rPr>
        <w:t>[Prénom]</w:t>
      </w:r>
      <w:r>
        <w:rPr>
          <w:b w:val="0"/>
          <w:i w:val="0"/>
        </w:rPr>
        <w:t xml:space="preserve">, </w:t>
      </w:r>
      <w:r>
        <w:rPr>
          <w:b/>
          <w:i w:val="0"/>
          <w:highlight w:val="yellow"/>
        </w:rPr>
        <w:t>[Nom]</w:t>
      </w:r>
      <w:r>
        <w:rPr>
          <w:b w:val="0"/>
          <w:i w:val="0"/>
        </w:rPr>
        <w:t xml:space="preserve"> de Thim Production, je vous prends deux minutes, pas plus. Vous connaissez le Festival des Grillades ? »</w:t>
      </w:r>
    </w:p>
    <w:p>
      <w:pPr>
        <w:pStyle w:val="ListBullet"/>
        <w:spacing w:after="80"/>
      </w:pPr>
      <w:r>
        <w:rPr>
          <w:b/>
          <w:i w:val="0"/>
        </w:rPr>
        <w:t>S'il connaît :</w:t>
      </w:r>
      <w:r>
        <w:rPr>
          <w:b w:val="0"/>
          <w:i w:val="0"/>
        </w:rPr>
        <w:t xml:space="preserve"> « Alors vous savez ce que c'est. Nous en produisons l'édition parisienne, le 11 octobre à Bobigny. »</w:t>
      </w:r>
    </w:p>
    <w:p>
      <w:pPr>
        <w:pStyle w:val="ListBullet"/>
        <w:spacing w:after="80"/>
      </w:pPr>
      <w:r>
        <w:rPr>
          <w:b/>
          <w:i w:val="0"/>
        </w:rPr>
        <w:t>S'il ne connaît pas :</w:t>
      </w:r>
      <w:r>
        <w:rPr>
          <w:b w:val="0"/>
          <w:i w:val="0"/>
        </w:rPr>
        <w:t xml:space="preserve"> « C'est le rendez-vous de la gastronomie ivoirienne, à Abidjan depuis 2008, dix-huit éditions. Le 11 octobre, deuxième édition à Paris. »</w:t>
      </w:r>
    </w:p>
    <w:p>
      <w:r>
        <w:rPr>
          <w:b/>
          <w:i w:val="0"/>
        </w:rPr>
        <w:t>Le cœur, 30 secondes.</w:t>
      </w:r>
      <w:r>
        <w:rPr>
          <w:b w:val="0"/>
          <w:i w:val="0"/>
        </w:rPr>
        <w:t xml:space="preserve"> « Une soirée en salle, la cuisine du pays, un plateau d'artistes, et plusieurs centaines de familles de la diaspora réunies. Nous constituons le cercle des partenaires de cette édition. »</w:t>
      </w:r>
    </w:p>
    <w:p>
      <w:r>
        <w:rPr>
          <w:b/>
          <w:i w:val="0"/>
        </w:rPr>
        <w:t>La raison de l'appel, 20 secondes.</w:t>
      </w:r>
      <w:r>
        <w:rPr>
          <w:b w:val="0"/>
          <w:i w:val="0"/>
        </w:rPr>
        <w:t xml:space="preserve"> « Je vous appelle vous parce que </w:t>
      </w:r>
      <w:r>
        <w:rPr>
          <w:b/>
          <w:i w:val="0"/>
          <w:highlight w:val="yellow"/>
        </w:rPr>
        <w:t>[raison, sur son client à lui]</w:t>
      </w:r>
      <w:r>
        <w:rPr>
          <w:b w:val="0"/>
          <w:i w:val="0"/>
        </w:rPr>
        <w:t>. »</w:t>
      </w:r>
    </w:p>
    <w:p>
      <w:r>
        <w:rPr>
          <w:b/>
          <w:i w:val="0"/>
        </w:rPr>
        <w:t>La demande, 15 secondes.</w:t>
      </w:r>
      <w:r>
        <w:rPr>
          <w:b w:val="0"/>
          <w:i w:val="0"/>
        </w:rPr>
        <w:t xml:space="preserve"> « Ce que je vous propose, c'est vingt minutes en visio pour que je vous montre le dossier et que vous me disiez si c'est votre sujet. Jeudi ou vendredi ? »</w:t>
      </w:r>
    </w:p>
    <w:p>
      <w:r>
        <w:rPr>
          <w:b/>
          <w:i w:val="0"/>
        </w:rPr>
        <w:t>Le silence.</w:t>
      </w:r>
      <w:r>
        <w:rPr>
          <w:b w:val="0"/>
          <w:i w:val="0"/>
        </w:rPr>
        <w:t xml:space="preserve"> Après la question, se taire. C'est la partie la plus difficile du script et la seule qui décide.</w:t>
      </w:r>
    </w:p>
    <w:p>
      <w:pPr>
        <w:spacing w:before="40" w:after="160"/>
        <w:pBdr>
          <w:bottom w:val="single" w:sz="6" w:space="1" w:color="D2CFC8"/>
        </w:pBdr>
      </w:pPr>
    </w:p>
    <w:p>
      <w:pPr>
        <w:pStyle w:val="Heading1"/>
      </w:pPr>
      <w:r>
        <w:rPr>
          <w:b/>
          <w:i w:val="0"/>
        </w:rPr>
        <w:t>4. Le calendrier de relance</w:t>
      </w:r>
    </w:p>
    <w:tbl>
      <w:tblPr>
        <w:tblStyle w:val="TableGrid"/>
        <w:tblW w:type="auto" w:w="0"/>
        <w:jc w:val="left"/>
        <w:tblLayout w:type="autofit"/>
        <w:tblLook w:firstColumn="1" w:firstRow="1" w:lastColumn="0" w:lastRow="0" w:noHBand="0" w:noVBand="1" w:val="04A0"/>
      </w:tblPr>
      <w:tblGrid>
        <w:gridCol w:w="3249"/>
        <w:gridCol w:w="3249"/>
        <w:gridCol w:w="3249"/>
      </w:tblGrid>
      <w:tr>
        <w:trPr>
          <w:tblHeader w:val="true"/>
        </w:trPr>
        <w:tc>
          <w:tcPr>
            <w:tcW w:type="dxa" w:w="3249"/>
            <w:shd w:val="clear" w:color="auto" w:fill="EAF0F3"/>
          </w:tcPr>
          <w:p>
            <w:pPr>
              <w:spacing w:after="40"/>
            </w:pPr>
            <w:r/>
            <w:r>
              <w:rPr>
                <w:b/>
                <w:i w:val="0"/>
                <w:sz w:val="20"/>
              </w:rPr>
              <w:t>Quand</w:t>
            </w:r>
          </w:p>
        </w:tc>
        <w:tc>
          <w:tcPr>
            <w:tcW w:type="dxa" w:w="3249"/>
            <w:shd w:val="clear" w:color="auto" w:fill="EAF0F3"/>
          </w:tcPr>
          <w:p>
            <w:pPr>
              <w:spacing w:after="40"/>
            </w:pPr>
            <w:r/>
            <w:r>
              <w:rPr>
                <w:b/>
                <w:i w:val="0"/>
                <w:sz w:val="20"/>
              </w:rPr>
              <w:t>Canal</w:t>
            </w:r>
          </w:p>
        </w:tc>
        <w:tc>
          <w:tcPr>
            <w:tcW w:type="dxa" w:w="3249"/>
            <w:shd w:val="clear" w:color="auto" w:fill="EAF0F3"/>
          </w:tcPr>
          <w:p>
            <w:pPr>
              <w:spacing w:after="40"/>
            </w:pPr>
            <w:r/>
            <w:r>
              <w:rPr>
                <w:b/>
                <w:i w:val="0"/>
                <w:sz w:val="20"/>
              </w:rPr>
              <w:t>Ce qu'on dit</w:t>
            </w:r>
          </w:p>
        </w:tc>
      </w:tr>
      <w:tr>
        <w:tc>
          <w:tcPr>
            <w:tcW w:type="dxa" w:w="3249"/>
          </w:tcPr>
          <w:p>
            <w:pPr>
              <w:spacing w:after="40"/>
            </w:pPr>
            <w:r/>
            <w:r>
              <w:rPr>
                <w:b w:val="0"/>
                <w:i w:val="0"/>
                <w:sz w:val="20"/>
              </w:rPr>
              <w:t>J0</w:t>
            </w:r>
          </w:p>
        </w:tc>
        <w:tc>
          <w:tcPr>
            <w:tcW w:type="dxa" w:w="3249"/>
          </w:tcPr>
          <w:p>
            <w:pPr>
              <w:spacing w:after="40"/>
            </w:pPr>
            <w:r/>
            <w:r>
              <w:rPr>
                <w:b w:val="0"/>
                <w:i w:val="0"/>
                <w:sz w:val="20"/>
              </w:rPr>
              <w:t>courriel ou message</w:t>
            </w:r>
          </w:p>
        </w:tc>
        <w:tc>
          <w:tcPr>
            <w:tcW w:type="dxa" w:w="3249"/>
          </w:tcPr>
          <w:p>
            <w:pPr>
              <w:spacing w:after="40"/>
            </w:pPr>
            <w:r/>
            <w:r>
              <w:rPr>
                <w:b w:val="0"/>
                <w:i w:val="0"/>
                <w:sz w:val="20"/>
              </w:rPr>
              <w:t>premier contact, on demande un échange, on ne joint rien</w:t>
            </w:r>
          </w:p>
        </w:tc>
      </w:tr>
      <w:tr>
        <w:tc>
          <w:tcPr>
            <w:tcW w:type="dxa" w:w="3249"/>
          </w:tcPr>
          <w:p>
            <w:pPr>
              <w:spacing w:after="40"/>
            </w:pPr>
            <w:r/>
            <w:r>
              <w:rPr>
                <w:b w:val="0"/>
                <w:i w:val="0"/>
                <w:sz w:val="20"/>
              </w:rPr>
              <w:t>J+3</w:t>
            </w:r>
          </w:p>
        </w:tc>
        <w:tc>
          <w:tcPr>
            <w:tcW w:type="dxa" w:w="3249"/>
          </w:tcPr>
          <w:p>
            <w:pPr>
              <w:spacing w:after="40"/>
            </w:pPr>
            <w:r/>
            <w:r>
              <w:rPr>
                <w:b w:val="0"/>
                <w:i w:val="0"/>
                <w:sz w:val="20"/>
              </w:rPr>
              <w:t>appel</w:t>
            </w:r>
          </w:p>
        </w:tc>
        <w:tc>
          <w:tcPr>
            <w:tcW w:type="dxa" w:w="3249"/>
          </w:tcPr>
          <w:p>
            <w:pPr>
              <w:spacing w:after="40"/>
            </w:pPr>
            <w:r/>
            <w:r>
              <w:rPr>
                <w:b w:val="0"/>
                <w:i w:val="0"/>
                <w:sz w:val="20"/>
              </w:rPr>
              <w:t>« je vous ai écrit lundi, je préfère vous poser la question de vive voix »</w:t>
            </w:r>
          </w:p>
        </w:tc>
      </w:tr>
      <w:tr>
        <w:tc>
          <w:tcPr>
            <w:tcW w:type="dxa" w:w="3249"/>
          </w:tcPr>
          <w:p>
            <w:pPr>
              <w:spacing w:after="40"/>
            </w:pPr>
            <w:r/>
            <w:r>
              <w:rPr>
                <w:b w:val="0"/>
                <w:i w:val="0"/>
                <w:sz w:val="20"/>
              </w:rPr>
              <w:t>J+7</w:t>
            </w:r>
          </w:p>
        </w:tc>
        <w:tc>
          <w:tcPr>
            <w:tcW w:type="dxa" w:w="3249"/>
          </w:tcPr>
          <w:p>
            <w:pPr>
              <w:spacing w:after="40"/>
            </w:pPr>
            <w:r/>
            <w:r>
              <w:rPr>
                <w:b w:val="0"/>
                <w:i w:val="0"/>
                <w:sz w:val="20"/>
              </w:rPr>
              <w:t>courriel</w:t>
            </w:r>
          </w:p>
        </w:tc>
        <w:tc>
          <w:tcPr>
            <w:tcW w:type="dxa" w:w="3249"/>
          </w:tcPr>
          <w:p>
            <w:pPr>
              <w:spacing w:after="40"/>
            </w:pPr>
            <w:r/>
            <w:r>
              <w:rPr>
                <w:b w:val="0"/>
                <w:i w:val="0"/>
                <w:sz w:val="20"/>
              </w:rPr>
              <w:t xml:space="preserve">on ajoute </w:t>
            </w:r>
            <w:r>
              <w:rPr>
                <w:b/>
                <w:i w:val="0"/>
                <w:sz w:val="20"/>
              </w:rPr>
              <w:t>une</w:t>
            </w:r>
            <w:r>
              <w:rPr>
                <w:b w:val="0"/>
                <w:i w:val="0"/>
                <w:sz w:val="20"/>
              </w:rPr>
              <w:t xml:space="preserve"> information nouvelle, jamais une répétition</w:t>
            </w:r>
          </w:p>
        </w:tc>
      </w:tr>
      <w:tr>
        <w:tc>
          <w:tcPr>
            <w:tcW w:type="dxa" w:w="3249"/>
          </w:tcPr>
          <w:p>
            <w:pPr>
              <w:spacing w:after="40"/>
            </w:pPr>
            <w:r/>
            <w:r>
              <w:rPr>
                <w:b w:val="0"/>
                <w:i w:val="0"/>
                <w:sz w:val="20"/>
              </w:rPr>
              <w:t>J+12</w:t>
            </w:r>
          </w:p>
        </w:tc>
        <w:tc>
          <w:tcPr>
            <w:tcW w:type="dxa" w:w="3249"/>
          </w:tcPr>
          <w:p>
            <w:pPr>
              <w:spacing w:after="40"/>
            </w:pPr>
            <w:r/>
            <w:r>
              <w:rPr>
                <w:b w:val="0"/>
                <w:i w:val="0"/>
                <w:sz w:val="20"/>
              </w:rPr>
              <w:t>appel ou message</w:t>
            </w:r>
          </w:p>
        </w:tc>
        <w:tc>
          <w:tcPr>
            <w:tcW w:type="dxa" w:w="3249"/>
          </w:tcPr>
          <w:p>
            <w:pPr>
              <w:spacing w:after="40"/>
            </w:pPr>
            <w:r/>
            <w:r>
              <w:rPr>
                <w:b w:val="0"/>
                <w:i w:val="0"/>
                <w:sz w:val="20"/>
              </w:rPr>
              <w:t>la relance de clôture, voir ci-dessous</w:t>
            </w:r>
          </w:p>
        </w:tc>
      </w:tr>
      <w:tr>
        <w:tc>
          <w:tcPr>
            <w:tcW w:type="dxa" w:w="3249"/>
          </w:tcPr>
          <w:p>
            <w:pPr>
              <w:spacing w:after="40"/>
            </w:pPr>
            <w:r/>
            <w:r>
              <w:rPr>
                <w:b w:val="0"/>
                <w:i w:val="0"/>
                <w:sz w:val="20"/>
              </w:rPr>
              <w:t>J+30</w:t>
            </w:r>
          </w:p>
        </w:tc>
        <w:tc>
          <w:tcPr>
            <w:tcW w:type="dxa" w:w="3249"/>
          </w:tcPr>
          <w:p>
            <w:pPr>
              <w:spacing w:after="40"/>
            </w:pPr>
            <w:r/>
            <w:r>
              <w:rPr>
                <w:b w:val="0"/>
                <w:i w:val="0"/>
                <w:sz w:val="20"/>
              </w:rPr>
              <w:t>courriel</w:t>
            </w:r>
          </w:p>
        </w:tc>
        <w:tc>
          <w:tcPr>
            <w:tcW w:type="dxa" w:w="3249"/>
          </w:tcPr>
          <w:p>
            <w:pPr>
              <w:spacing w:after="40"/>
            </w:pPr>
            <w:r/>
            <w:r>
              <w:rPr>
                <w:b w:val="0"/>
                <w:i w:val="0"/>
                <w:sz w:val="20"/>
              </w:rPr>
              <w:t>uniquement si l'événement a produit du nouveau, sinon on classe</w:t>
            </w:r>
          </w:p>
        </w:tc>
      </w:tr>
    </w:tbl>
    <w:p>
      <w:r>
        <w:rPr>
          <w:b/>
          <w:i w:val="0"/>
        </w:rPr>
        <w:t>La relance de clôture, à J+12 :</w:t>
      </w:r>
    </w:p>
    <w:p>
      <w:pPr>
        <w:spacing w:after="120" w:before="120" w:line="276" w:lineRule="auto"/>
        <w:ind w:left="397" w:right="170"/>
        <w:shd w:val="clear" w:color="auto" w:fill="F7F6F4"/>
      </w:pPr>
      <w:r>
        <w:rPr>
          <w:b w:val="0"/>
          <w:i w:val="0"/>
          <w:sz w:val="21"/>
        </w:rPr>
        <w:t xml:space="preserve">Bonjour </w:t>
      </w:r>
      <w:r>
        <w:rPr>
          <w:b/>
          <w:i w:val="0"/>
          <w:sz w:val="21"/>
          <w:highlight w:val="yellow"/>
        </w:rPr>
        <w:t>[Prénom]</w:t>
      </w:r>
      <w:r>
        <w:rPr>
          <w:b w:val="0"/>
          <w:i w:val="0"/>
          <w:sz w:val="21"/>
        </w:rPr>
        <w:t>,</w:t>
      </w:r>
    </w:p>
    <w:p>
      <w:pPr>
        <w:spacing w:after="120" w:before="0" w:line="276" w:lineRule="auto"/>
        <w:ind w:left="397" w:right="170"/>
        <w:shd w:val="clear" w:color="auto" w:fill="F7F6F4"/>
      </w:pPr>
      <w:r>
        <w:rPr>
          <w:b w:val="0"/>
          <w:i w:val="0"/>
          <w:sz w:val="21"/>
        </w:rPr>
        <w:t>Je ne veux pas vous relancer indéfiniment. Deux réponses me vont : « ça m'intéresse, on en parle », ou « ce n'est pas pour nous cette année ».</w:t>
      </w:r>
    </w:p>
    <w:p>
      <w:pPr>
        <w:spacing w:after="120" w:before="0" w:line="276" w:lineRule="auto"/>
        <w:ind w:left="397" w:right="170"/>
        <w:shd w:val="clear" w:color="auto" w:fill="F7F6F4"/>
      </w:pPr>
      <w:r>
        <w:rPr>
          <w:b w:val="0"/>
          <w:i w:val="0"/>
          <w:sz w:val="21"/>
        </w:rPr>
        <w:t>La seconde ne me dérange pas, elle me permet de proposer la catégorie à quelqu'un d'autre avant que les supports partent à l'impression.</w:t>
      </w:r>
    </w:p>
    <w:p>
      <w:pPr>
        <w:spacing w:after="120" w:before="0" w:line="276" w:lineRule="auto"/>
        <w:ind w:left="397" w:right="170"/>
        <w:shd w:val="clear" w:color="auto" w:fill="F7F6F4"/>
      </w:pPr>
      <w:r>
        <w:rPr>
          <w:b w:val="0"/>
          <w:i w:val="0"/>
          <w:sz w:val="21"/>
        </w:rPr>
        <w:t>Bien à vous,</w:t>
      </w:r>
    </w:p>
    <w:p>
      <w:pPr>
        <w:spacing w:after="120" w:before="0" w:line="276" w:lineRule="auto"/>
        <w:ind w:left="397" w:right="170"/>
        <w:shd w:val="clear" w:color="auto" w:fill="F7F6F4"/>
      </w:pPr>
      <w:r>
        <w:rPr>
          <w:b/>
          <w:i w:val="0"/>
          <w:sz w:val="21"/>
          <w:highlight w:val="yellow"/>
        </w:rPr>
        <w:t>[Nom]</w:t>
      </w:r>
    </w:p>
    <w:p>
      <w:r>
        <w:rPr>
          <w:b w:val="0"/>
          <w:i w:val="0"/>
        </w:rPr>
        <w:t>Cette lettre obtient des réponses parce qu'elle rend le non facile et le rareté réelle. Elle ne s'écrit qu'une fois, et elle est vraie : après l'arrêt des supports imprimés, la catégorie ne vaut plus la même chose.</w:t>
      </w:r>
    </w:p>
    <w:p>
      <w:pPr>
        <w:spacing w:before="40" w:after="160"/>
        <w:pBdr>
          <w:bottom w:val="single" w:sz="6" w:space="1" w:color="D2CFC8"/>
        </w:pBdr>
      </w:pPr>
    </w:p>
    <w:p>
      <w:pPr>
        <w:pStyle w:val="Heading1"/>
      </w:pPr>
      <w:r>
        <w:rPr>
          <w:b/>
          <w:i w:val="0"/>
        </w:rPr>
        <w:t>5. Les six objections, et ce qu'on répond</w:t>
      </w:r>
    </w:p>
    <w:p>
      <w:r>
        <w:rPr>
          <w:b/>
          <w:i w:val="0"/>
        </w:rPr>
        <w:t>« Notre budget de sponsoring est déjà engagé pour l'année. »</w:t>
      </w:r>
      <w:r>
        <w:rPr>
          <w:b w:val="0"/>
          <w:i w:val="0"/>
        </w:rPr>
        <w:t xml:space="preserve"> On ne discute pas le budget, on décale la conversation. « C'est normal à cette période. Deux choses alors : il existe des formules d'apport en nature, qui ne touchent pas le budget communication, et je vous inscris pour l'édition 2027, dont le démarchage commence en janvier. »</w:t>
      </w:r>
    </w:p>
    <w:p>
      <w:r>
        <w:rPr>
          <w:b/>
          <w:i w:val="0"/>
        </w:rPr>
        <w:t>« Le Festival, c'est en Côte d'Ivoire, notre marché est en France. »</w:t>
      </w:r>
      <w:r>
        <w:rPr>
          <w:b w:val="0"/>
          <w:i w:val="0"/>
        </w:rPr>
        <w:t xml:space="preserve"> « C'est précisément le point. Ce soir-là, le public est en France. Ce sont vos clients d'ici, qui ont un lien avec là-bas. Vous ne parlez pas à Abidjan, vous parlez à Bobigny. »</w:t>
      </w:r>
    </w:p>
    <w:p>
      <w:r>
        <w:rPr>
          <w:b/>
          <w:i w:val="0"/>
        </w:rPr>
        <w:t>« Combien de personnes attendez-vous ? »</w:t>
      </w:r>
      <w:r>
        <w:rPr>
          <w:b w:val="0"/>
          <w:i w:val="0"/>
        </w:rPr>
        <w:t xml:space="preserve"> Ne jamais inventer un chiffre. « Je vous donne la jauge de la salle et la fréquentation constatée l'an dernier, pas une estimation. Je vous envoie les deux avec le dossier. » Puis le faire. Un chiffre gonflé se paie deux fois : à la soirée, et à l'édition suivante.</w:t>
      </w:r>
    </w:p>
    <w:p>
      <w:r>
        <w:rPr>
          <w:b/>
          <w:i w:val="0"/>
        </w:rPr>
        <w:t>« Envoyez-moi une plaquette, je regarde. »</w:t>
      </w:r>
      <w:r>
        <w:rPr>
          <w:b w:val="0"/>
          <w:i w:val="0"/>
        </w:rPr>
        <w:t xml:space="preserve"> « Je vous l'envoie ce soir. Mais elle vous servira mieux après dix minutes d'échange, parce qu'il y a trois formules et que je saurai vous dire laquelle regarder. » S'il insiste, envoyer sans négocier, et rappeler à J+3.</w:t>
      </w:r>
    </w:p>
    <w:p>
      <w:r>
        <w:rPr>
          <w:b/>
          <w:i w:val="0"/>
        </w:rPr>
        <w:t>« Pourquoi c'est vous qui nous contactez, et pas l'organisateur ? »</w:t>
      </w:r>
      <w:r>
        <w:rPr>
          <w:b w:val="0"/>
          <w:i w:val="0"/>
        </w:rPr>
        <w:t xml:space="preserve"> « Advantage Conseils est propriétaire du Festival, à Abidjan. Elle nous a confié la production déléguée de l'édition parisienne, c'est-à-dire tout ce qui se contracte en France. Vous avez l'attestation de mandat en pièce jointe, et votre convention est signée avec nous. »</w:t>
      </w:r>
    </w:p>
    <w:p>
      <w:r>
        <w:rPr>
          <w:b/>
          <w:i w:val="0"/>
        </w:rPr>
        <w:t>« On veut l'exclusivité, mais votre prix est trop haut. »</w:t>
      </w:r>
      <w:r>
        <w:rPr>
          <w:b w:val="0"/>
          <w:i w:val="0"/>
        </w:rPr>
        <w:t xml:space="preserve"> On ne baisse pas le prix, on descend de palier. « L'exclusivité de catégorie n'existe qu'au niveau Officiel, c'est ce qui en fait la valeur. Si le montant n'est pas le bon, regardons le palier en dessous, sans exclusivité, ou une formule mixte avec un apport en nature. » Une exclusivité remisée détruit la grille pour tous les autres partenaires.</w:t>
      </w:r>
    </w:p>
    <w:p>
      <w:pPr>
        <w:spacing w:before="40" w:after="160"/>
        <w:pBdr>
          <w:bottom w:val="single" w:sz="6" w:space="1" w:color="D2CFC8"/>
        </w:pBdr>
      </w:pPr>
    </w:p>
    <w:p>
      <w:pPr>
        <w:pStyle w:val="Heading1"/>
      </w:pPr>
      <w:r>
        <w:rPr>
          <w:b/>
          <w:i w:val="0"/>
        </w:rPr>
        <w:t>6. Ce qu'on ne fait pas</w:t>
      </w:r>
    </w:p>
    <w:p>
      <w:pPr>
        <w:pStyle w:val="ListBullet"/>
        <w:spacing w:after="80"/>
      </w:pPr>
      <w:r>
        <w:rPr>
          <w:b/>
          <w:i w:val="0"/>
        </w:rPr>
        <w:t>Pas d'envoi en masse.</w:t>
      </w:r>
      <w:r>
        <w:rPr>
          <w:b w:val="0"/>
          <w:i w:val="0"/>
        </w:rPr>
        <w:t xml:space="preserve"> Vingt courriers nominatifs valent mieux que deux cents envois groupés, et un envoi groupé dans lequel un partenaire lit l'adresse d'un concurrent est une faute.</w:t>
      </w:r>
    </w:p>
    <w:p>
      <w:pPr>
        <w:pStyle w:val="ListBullet"/>
        <w:spacing w:after="80"/>
      </w:pPr>
      <w:r>
        <w:rPr>
          <w:b/>
          <w:i w:val="0"/>
        </w:rPr>
        <w:t>Pas de promesse hors dossier.</w:t>
      </w:r>
      <w:r>
        <w:rPr>
          <w:b w:val="0"/>
          <w:i w:val="0"/>
        </w:rPr>
        <w:t xml:space="preserve"> Aucune contrepartie qui n'est pas écrite dans le dossier ne s'annonce à l'oral. Ce qui a été promis en visioconférence finit toujours par être réclamé.</w:t>
      </w:r>
    </w:p>
    <w:p>
      <w:pPr>
        <w:pStyle w:val="ListBullet"/>
        <w:spacing w:after="80"/>
      </w:pPr>
      <w:r>
        <w:rPr>
          <w:b/>
          <w:i w:val="0"/>
        </w:rPr>
        <w:t>Pas de chiffre non vérifié</w:t>
      </w:r>
      <w:r>
        <w:rPr>
          <w:b w:val="0"/>
          <w:i w:val="0"/>
        </w:rPr>
        <w:t>, ni de fréquentation, ni d'audience numérique, ni de retombées presse.</w:t>
      </w:r>
    </w:p>
    <w:p>
      <w:pPr>
        <w:pStyle w:val="ListBullet"/>
        <w:spacing w:after="80"/>
      </w:pPr>
      <w:r>
        <w:rPr>
          <w:b/>
          <w:i w:val="0"/>
        </w:rPr>
        <w:t>Pas d'approche d'un compte déjà engagé</w:t>
      </w:r>
      <w:r>
        <w:rPr>
          <w:b w:val="0"/>
          <w:i w:val="0"/>
        </w:rPr>
        <w:t xml:space="preserve"> avec l'organisateur à Abidjan. Voir la règle de coordination dans </w:t>
      </w:r>
      <w:r>
        <w:rPr>
          <w:rFonts w:ascii="Consolas" w:hAnsi="Consolas"/>
          <w:b w:val="0"/>
          <w:i w:val="0"/>
          <w:sz w:val="20"/>
        </w:rPr>
        <w:t>CIBLES-FRANCE-ET-DIASPORA.md</w:t>
      </w:r>
      <w:r>
        <w:rPr>
          <w:b w:val="0"/>
          <w:i w:val="0"/>
        </w:rPr>
        <w: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7"/>
      </w:rPr>
      <w:t>Festival des Grillades de Paris, 2e edition, 11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Messages, appels et relances</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