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Convention de partenariat, modele type</w:t>
      </w:r>
    </w:p>
    <w:p>
      <w:pPr>
        <w:spacing w:after="280"/>
      </w:pPr>
      <w:r>
        <w:rPr>
          <w:color w:val="84837C"/>
          <w:sz w:val="23"/>
        </w:rPr>
        <w:t>Un exemplaire par partenaire, seules les annexes changent</w:t>
      </w:r>
    </w:p>
    <w:p>
      <w:pPr>
        <w:shd w:val="clear" w:color="auto" w:fill="FBEEEC"/>
        <w:spacing w:before="80" w:after="280"/>
        <w:pBdr>
          <w:top w:val="single" w:sz="6" w:space="6" w:color="8C3A32"/>
          <w:left w:val="single" w:sz="6" w:space="6" w:color="8C3A32"/>
          <w:bottom w:val="single" w:sz="6" w:space="6" w:color="8C3A32"/>
          <w:right w:val="single" w:sz="6" w:space="6" w:color="8C3A32"/>
        </w:pBdr>
      </w:pPr>
      <w:r>
        <w:rPr>
          <w:b/>
          <w:color w:val="8C3A32"/>
          <w:sz w:val="21"/>
        </w:rPr>
        <w:t>Modele non relu par un avocat. Deux points doivent l'etre avant le premier envoi : l'article 3 sur les boissons alcooliques et l'article 15 sur la TVA et l'encaissement pour compte de tiers.</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 xml:space="preserve">Contrat signé entre </w:t>
      </w:r>
      <w:r>
        <w:rPr>
          <w:b/>
          <w:i w:val="0"/>
          <w:color w:val="3D3D39"/>
          <w:sz w:val="21"/>
        </w:rPr>
        <w:t>Thim Production</w:t>
      </w:r>
      <w:r>
        <w:rPr>
          <w:b w:val="0"/>
          <w:i w:val="0"/>
          <w:color w:val="3D3D39"/>
          <w:sz w:val="21"/>
        </w:rPr>
        <w:t xml:space="preserve">, agissant pour le compte d'Advantage Conseils, et le </w:t>
      </w:r>
      <w:r>
        <w:rPr>
          <w:b/>
          <w:i w:val="0"/>
          <w:color w:val="3D3D39"/>
          <w:sz w:val="21"/>
        </w:rPr>
        <w:t>partenaire</w:t>
      </w:r>
      <w:r>
        <w:rPr>
          <w:b w:val="0"/>
          <w:i w:val="0"/>
          <w:color w:val="3D3D39"/>
          <w:sz w:val="21"/>
        </w:rPr>
        <w:t>. Un exemplaire par partenaire. Les montants et les contreparties retenues vont en Annexe 1, jamais dans le corps du contrat : le corps ne change pas d'un partenaire à l'autre, seule l'annexe change. Ce modèle n'a pas été relu par un avocat. Deux points en particulier doivent l'être avant le premier envoi, ils sont signalés à l'article 3 et à l'article 15.</w:t>
      </w:r>
    </w:p>
    <w:p>
      <w:pPr>
        <w:spacing w:before="40" w:after="160"/>
        <w:pBdr>
          <w:bottom w:val="single" w:sz="6" w:space="1" w:color="D2CFC8"/>
        </w:pBdr>
      </w:pPr>
    </w:p>
    <w:p>
      <w:pPr>
        <w:pStyle w:val="Heading1"/>
      </w:pPr>
      <w:r>
        <w:rPr>
          <w:b/>
          <w:i w:val="0"/>
        </w:rPr>
        <w:t>La checklist des clauses critiques, passée avant rédaction</w:t>
      </w:r>
    </w:p>
    <w:tbl>
      <w:tblPr>
        <w:tblStyle w:val="TableGrid"/>
        <w:tblW w:type="auto" w:w="0"/>
        <w:jc w:val="left"/>
        <w:tblLayout w:type="autofit"/>
        <w:tblLook w:firstColumn="1" w:firstRow="1" w:lastColumn="0" w:lastRow="0" w:noHBand="0" w:noVBand="1" w:val="04A0"/>
      </w:tblPr>
      <w:tblGrid>
        <w:gridCol w:w="3249"/>
        <w:gridCol w:w="3249"/>
        <w:gridCol w:w="3249"/>
      </w:tblGrid>
      <w:tr>
        <w:trPr>
          <w:tblHeader w:val="true"/>
        </w:trPr>
        <w:tc>
          <w:tcPr>
            <w:tcW w:type="dxa" w:w="3249"/>
            <w:shd w:val="clear" w:color="auto" w:fill="EAF0F3"/>
          </w:tcPr>
          <w:p>
            <w:pPr>
              <w:spacing w:after="40"/>
            </w:pPr>
            <w:r/>
            <w:r>
              <w:rPr>
                <w:b/>
                <w:i w:val="0"/>
                <w:sz w:val="20"/>
              </w:rPr>
              <w:t>Clause</w:t>
            </w:r>
          </w:p>
        </w:tc>
        <w:tc>
          <w:tcPr>
            <w:tcW w:type="dxa" w:w="3249"/>
            <w:shd w:val="clear" w:color="auto" w:fill="EAF0F3"/>
          </w:tcPr>
          <w:p>
            <w:pPr>
              <w:spacing w:after="40"/>
            </w:pPr>
            <w:r/>
            <w:r>
              <w:rPr>
                <w:b/>
                <w:i w:val="0"/>
                <w:sz w:val="20"/>
              </w:rPr>
              <w:t>Présente</w:t>
            </w:r>
          </w:p>
        </w:tc>
        <w:tc>
          <w:tcPr>
            <w:tcW w:type="dxa" w:w="3249"/>
            <w:shd w:val="clear" w:color="auto" w:fill="EAF0F3"/>
          </w:tcPr>
          <w:p>
            <w:pPr>
              <w:spacing w:after="40"/>
            </w:pPr>
            <w:r/>
            <w:r>
              <w:rPr>
                <w:b/>
                <w:i w:val="0"/>
                <w:sz w:val="20"/>
              </w:rPr>
              <w:t>Pourquoi elle est là</w:t>
            </w:r>
          </w:p>
        </w:tc>
      </w:tr>
      <w:tr>
        <w:tc>
          <w:tcPr>
            <w:tcW w:type="dxa" w:w="3249"/>
          </w:tcPr>
          <w:p>
            <w:pPr>
              <w:spacing w:after="40"/>
            </w:pPr>
            <w:r/>
            <w:r>
              <w:rPr>
                <w:b w:val="0"/>
                <w:i w:val="0"/>
                <w:sz w:val="20"/>
              </w:rPr>
              <w:t>Qualité du signataire côté partenaire</w:t>
            </w:r>
          </w:p>
        </w:tc>
        <w:tc>
          <w:tcPr>
            <w:tcW w:type="dxa" w:w="3249"/>
          </w:tcPr>
          <w:p>
            <w:pPr>
              <w:spacing w:after="40"/>
            </w:pPr>
            <w:r/>
            <w:r>
              <w:rPr>
                <w:b w:val="0"/>
                <w:i w:val="0"/>
                <w:sz w:val="20"/>
              </w:rPr>
              <w:t>art. 1</w:t>
            </w:r>
          </w:p>
        </w:tc>
        <w:tc>
          <w:tcPr>
            <w:tcW w:type="dxa" w:w="3249"/>
          </w:tcPr>
          <w:p>
            <w:pPr>
              <w:spacing w:after="40"/>
            </w:pPr>
            <w:r/>
            <w:r>
              <w:rPr>
                <w:b w:val="0"/>
                <w:i w:val="0"/>
                <w:sz w:val="20"/>
              </w:rPr>
              <w:t>un directeur marketing n'engage pas toujours sa société</w:t>
            </w:r>
          </w:p>
        </w:tc>
      </w:tr>
      <w:tr>
        <w:tc>
          <w:tcPr>
            <w:tcW w:type="dxa" w:w="3249"/>
          </w:tcPr>
          <w:p>
            <w:pPr>
              <w:spacing w:after="40"/>
            </w:pPr>
            <w:r/>
            <w:r>
              <w:rPr>
                <w:b w:val="0"/>
                <w:i w:val="0"/>
                <w:sz w:val="20"/>
              </w:rPr>
              <w:t>Qualité de mandataire de Thim</w:t>
            </w:r>
          </w:p>
        </w:tc>
        <w:tc>
          <w:tcPr>
            <w:tcW w:type="dxa" w:w="3249"/>
          </w:tcPr>
          <w:p>
            <w:pPr>
              <w:spacing w:after="40"/>
            </w:pPr>
            <w:r/>
            <w:r>
              <w:rPr>
                <w:b w:val="0"/>
                <w:i w:val="0"/>
                <w:sz w:val="20"/>
              </w:rPr>
              <w:t>art. 1 et 2</w:t>
            </w:r>
          </w:p>
        </w:tc>
        <w:tc>
          <w:tcPr>
            <w:tcW w:type="dxa" w:w="3249"/>
          </w:tcPr>
          <w:p>
            <w:pPr>
              <w:spacing w:after="40"/>
            </w:pPr>
            <w:r/>
            <w:r>
              <w:rPr>
                <w:b w:val="0"/>
                <w:i w:val="0"/>
                <w:sz w:val="20"/>
              </w:rPr>
              <w:t>le partenaire doit savoir pour le compte de qui il contracte</w:t>
            </w:r>
          </w:p>
        </w:tc>
      </w:tr>
      <w:tr>
        <w:tc>
          <w:tcPr>
            <w:tcW w:type="dxa" w:w="3249"/>
          </w:tcPr>
          <w:p>
            <w:pPr>
              <w:spacing w:after="40"/>
            </w:pPr>
            <w:r/>
            <w:r>
              <w:rPr>
                <w:b w:val="0"/>
                <w:i w:val="0"/>
                <w:sz w:val="20"/>
              </w:rPr>
              <w:t>Qualification en parrainage</w:t>
            </w:r>
          </w:p>
        </w:tc>
        <w:tc>
          <w:tcPr>
            <w:tcW w:type="dxa" w:w="3249"/>
          </w:tcPr>
          <w:p>
            <w:pPr>
              <w:spacing w:after="40"/>
            </w:pPr>
            <w:r/>
            <w:r>
              <w:rPr>
                <w:b w:val="0"/>
                <w:i w:val="0"/>
                <w:sz w:val="20"/>
              </w:rPr>
              <w:t>art. 3</w:t>
            </w:r>
          </w:p>
        </w:tc>
        <w:tc>
          <w:tcPr>
            <w:tcW w:type="dxa" w:w="3249"/>
          </w:tcPr>
          <w:p>
            <w:pPr>
              <w:spacing w:after="40"/>
            </w:pPr>
            <w:r/>
            <w:r>
              <w:rPr>
                <w:b w:val="0"/>
                <w:i w:val="0"/>
                <w:sz w:val="20"/>
              </w:rPr>
              <w:t>détermine le régime fiscal et la facture</w:t>
            </w:r>
          </w:p>
        </w:tc>
      </w:tr>
      <w:tr>
        <w:tc>
          <w:tcPr>
            <w:tcW w:type="dxa" w:w="3249"/>
          </w:tcPr>
          <w:p>
            <w:pPr>
              <w:spacing w:after="40"/>
            </w:pPr>
            <w:r/>
            <w:r>
              <w:rPr>
                <w:b w:val="0"/>
                <w:i w:val="0"/>
                <w:sz w:val="20"/>
              </w:rPr>
              <w:t>Interdiction du parrainage par les alcooliers</w:t>
            </w:r>
          </w:p>
        </w:tc>
        <w:tc>
          <w:tcPr>
            <w:tcW w:type="dxa" w:w="3249"/>
          </w:tcPr>
          <w:p>
            <w:pPr>
              <w:spacing w:after="40"/>
            </w:pPr>
            <w:r/>
            <w:r>
              <w:rPr>
                <w:b w:val="0"/>
                <w:i w:val="0"/>
                <w:sz w:val="20"/>
              </w:rPr>
              <w:t>art. 3</w:t>
            </w:r>
          </w:p>
        </w:tc>
        <w:tc>
          <w:tcPr>
            <w:tcW w:type="dxa" w:w="3249"/>
          </w:tcPr>
          <w:p>
            <w:pPr>
              <w:spacing w:after="40"/>
            </w:pPr>
            <w:r/>
            <w:r>
              <w:rPr>
                <w:b w:val="0"/>
                <w:i w:val="0"/>
                <w:sz w:val="20"/>
              </w:rPr>
              <w:t>interdiction d'ordre public en France</w:t>
            </w:r>
          </w:p>
        </w:tc>
      </w:tr>
      <w:tr>
        <w:tc>
          <w:tcPr>
            <w:tcW w:type="dxa" w:w="3249"/>
          </w:tcPr>
          <w:p>
            <w:pPr>
              <w:spacing w:after="40"/>
            </w:pPr>
            <w:r/>
            <w:r>
              <w:rPr>
                <w:b w:val="0"/>
                <w:i w:val="0"/>
                <w:sz w:val="20"/>
              </w:rPr>
              <w:t>Contreparties limitativement énumérées</w:t>
            </w:r>
          </w:p>
        </w:tc>
        <w:tc>
          <w:tcPr>
            <w:tcW w:type="dxa" w:w="3249"/>
          </w:tcPr>
          <w:p>
            <w:pPr>
              <w:spacing w:after="40"/>
            </w:pPr>
            <w:r/>
            <w:r>
              <w:rPr>
                <w:b w:val="0"/>
                <w:i w:val="0"/>
                <w:sz w:val="20"/>
              </w:rPr>
              <w:t>art. 4 et Annexe 1</w:t>
            </w:r>
          </w:p>
        </w:tc>
        <w:tc>
          <w:tcPr>
            <w:tcW w:type="dxa" w:w="3249"/>
          </w:tcPr>
          <w:p>
            <w:pPr>
              <w:spacing w:after="40"/>
            </w:pPr>
            <w:r/>
            <w:r>
              <w:rPr>
                <w:b w:val="0"/>
                <w:i w:val="0"/>
                <w:sz w:val="20"/>
              </w:rPr>
              <w:t>ce qui n'est pas écrit n'est pas dû</w:t>
            </w:r>
          </w:p>
        </w:tc>
      </w:tr>
      <w:tr>
        <w:tc>
          <w:tcPr>
            <w:tcW w:type="dxa" w:w="3249"/>
          </w:tcPr>
          <w:p>
            <w:pPr>
              <w:spacing w:after="40"/>
            </w:pPr>
            <w:r/>
            <w:r>
              <w:rPr>
                <w:b w:val="0"/>
                <w:i w:val="0"/>
                <w:sz w:val="20"/>
              </w:rPr>
              <w:t>Prix, échéance, pénalité de retard</w:t>
            </w:r>
          </w:p>
        </w:tc>
        <w:tc>
          <w:tcPr>
            <w:tcW w:type="dxa" w:w="3249"/>
          </w:tcPr>
          <w:p>
            <w:pPr>
              <w:spacing w:after="40"/>
            </w:pPr>
            <w:r/>
            <w:r>
              <w:rPr>
                <w:b w:val="0"/>
                <w:i w:val="0"/>
                <w:sz w:val="20"/>
              </w:rPr>
              <w:t>art. 5</w:t>
            </w:r>
          </w:p>
        </w:tc>
        <w:tc>
          <w:tcPr>
            <w:tcW w:type="dxa" w:w="3249"/>
          </w:tcPr>
          <w:p>
            <w:pPr>
              <w:spacing w:after="40"/>
            </w:pPr>
            <w:r/>
            <w:r>
              <w:rPr>
                <w:b w:val="0"/>
                <w:i w:val="0"/>
                <w:sz w:val="20"/>
              </w:rPr>
              <w:t>pas de production engagée sans encaissement</w:t>
            </w:r>
          </w:p>
        </w:tc>
      </w:tr>
      <w:tr>
        <w:tc>
          <w:tcPr>
            <w:tcW w:type="dxa" w:w="3249"/>
          </w:tcPr>
          <w:p>
            <w:pPr>
              <w:spacing w:after="40"/>
            </w:pPr>
            <w:r/>
            <w:r>
              <w:rPr>
                <w:b w:val="0"/>
                <w:i w:val="0"/>
                <w:sz w:val="20"/>
              </w:rPr>
              <w:t>Exclusivité de catégorie, définie en termes limités</w:t>
            </w:r>
          </w:p>
        </w:tc>
        <w:tc>
          <w:tcPr>
            <w:tcW w:type="dxa" w:w="3249"/>
          </w:tcPr>
          <w:p>
            <w:pPr>
              <w:spacing w:after="40"/>
            </w:pPr>
            <w:r/>
            <w:r>
              <w:rPr>
                <w:b w:val="0"/>
                <w:i w:val="0"/>
                <w:sz w:val="20"/>
              </w:rPr>
              <w:t>art. 6</w:t>
            </w:r>
          </w:p>
        </w:tc>
        <w:tc>
          <w:tcPr>
            <w:tcW w:type="dxa" w:w="3249"/>
          </w:tcPr>
          <w:p>
            <w:pPr>
              <w:spacing w:after="40"/>
            </w:pPr>
            <w:r/>
            <w:r>
              <w:rPr>
                <w:b w:val="0"/>
                <w:i w:val="0"/>
                <w:sz w:val="20"/>
              </w:rPr>
              <w:t>une catégorie floue bloque toute la campagne</w:t>
            </w:r>
          </w:p>
        </w:tc>
      </w:tr>
      <w:tr>
        <w:tc>
          <w:tcPr>
            <w:tcW w:type="dxa" w:w="3249"/>
          </w:tcPr>
          <w:p>
            <w:pPr>
              <w:spacing w:after="40"/>
            </w:pPr>
            <w:r/>
            <w:r>
              <w:rPr>
                <w:b w:val="0"/>
                <w:i w:val="0"/>
                <w:sz w:val="20"/>
              </w:rPr>
              <w:t>Éléments à fournir par le partenaire et date butoir</w:t>
            </w:r>
          </w:p>
        </w:tc>
        <w:tc>
          <w:tcPr>
            <w:tcW w:type="dxa" w:w="3249"/>
          </w:tcPr>
          <w:p>
            <w:pPr>
              <w:spacing w:after="40"/>
            </w:pPr>
            <w:r/>
            <w:r>
              <w:rPr>
                <w:b w:val="0"/>
                <w:i w:val="0"/>
                <w:sz w:val="20"/>
              </w:rPr>
              <w:t>art. 7</w:t>
            </w:r>
          </w:p>
        </w:tc>
        <w:tc>
          <w:tcPr>
            <w:tcW w:type="dxa" w:w="3249"/>
          </w:tcPr>
          <w:p>
            <w:pPr>
              <w:spacing w:after="40"/>
            </w:pPr>
            <w:r/>
            <w:r>
              <w:rPr>
                <w:b w:val="0"/>
                <w:i w:val="0"/>
                <w:sz w:val="20"/>
              </w:rPr>
              <w:t>c'est la première cause de contrepartie non exécutée</w:t>
            </w:r>
          </w:p>
        </w:tc>
      </w:tr>
      <w:tr>
        <w:tc>
          <w:tcPr>
            <w:tcW w:type="dxa" w:w="3249"/>
          </w:tcPr>
          <w:p>
            <w:pPr>
              <w:spacing w:after="40"/>
            </w:pPr>
            <w:r/>
            <w:r>
              <w:rPr>
                <w:b w:val="0"/>
                <w:i w:val="0"/>
                <w:sz w:val="20"/>
              </w:rPr>
              <w:t>Validation croisée des visuels</w:t>
            </w:r>
          </w:p>
        </w:tc>
        <w:tc>
          <w:tcPr>
            <w:tcW w:type="dxa" w:w="3249"/>
          </w:tcPr>
          <w:p>
            <w:pPr>
              <w:spacing w:after="40"/>
            </w:pPr>
            <w:r/>
            <w:r>
              <w:rPr>
                <w:b w:val="0"/>
                <w:i w:val="0"/>
                <w:sz w:val="20"/>
              </w:rPr>
              <w:t>art. 8</w:t>
            </w:r>
          </w:p>
        </w:tc>
        <w:tc>
          <w:tcPr>
            <w:tcW w:type="dxa" w:w="3249"/>
          </w:tcPr>
          <w:p>
            <w:pPr>
              <w:spacing w:after="40"/>
            </w:pPr>
            <w:r/>
            <w:r>
              <w:rPr>
                <w:b w:val="0"/>
                <w:i w:val="0"/>
                <w:sz w:val="20"/>
              </w:rPr>
              <w:t>protège les deux marques</w:t>
            </w:r>
          </w:p>
        </w:tc>
      </w:tr>
      <w:tr>
        <w:tc>
          <w:tcPr>
            <w:tcW w:type="dxa" w:w="3249"/>
          </w:tcPr>
          <w:p>
            <w:pPr>
              <w:spacing w:after="40"/>
            </w:pPr>
            <w:r/>
            <w:r>
              <w:rPr>
                <w:b w:val="0"/>
                <w:i w:val="0"/>
                <w:sz w:val="20"/>
              </w:rPr>
              <w:t>Propriété intellectuelle et licence d'usage des marques</w:t>
            </w:r>
          </w:p>
        </w:tc>
        <w:tc>
          <w:tcPr>
            <w:tcW w:type="dxa" w:w="3249"/>
          </w:tcPr>
          <w:p>
            <w:pPr>
              <w:spacing w:after="40"/>
            </w:pPr>
            <w:r/>
            <w:r>
              <w:rPr>
                <w:b w:val="0"/>
                <w:i w:val="0"/>
                <w:sz w:val="20"/>
              </w:rPr>
              <w:t>art. 9</w:t>
            </w:r>
          </w:p>
        </w:tc>
        <w:tc>
          <w:tcPr>
            <w:tcW w:type="dxa" w:w="3249"/>
          </w:tcPr>
          <w:p>
            <w:pPr>
              <w:spacing w:after="40"/>
            </w:pPr>
            <w:r/>
            <w:r>
              <w:rPr>
                <w:b w:val="0"/>
                <w:i w:val="0"/>
                <w:sz w:val="20"/>
              </w:rPr>
              <w:t>bornée à l'événement et à sa durée</w:t>
            </w:r>
          </w:p>
        </w:tc>
      </w:tr>
      <w:tr>
        <w:tc>
          <w:tcPr>
            <w:tcW w:type="dxa" w:w="3249"/>
          </w:tcPr>
          <w:p>
            <w:pPr>
              <w:spacing w:after="40"/>
            </w:pPr>
            <w:r/>
            <w:r>
              <w:rPr>
                <w:b w:val="0"/>
                <w:i w:val="0"/>
                <w:sz w:val="20"/>
              </w:rPr>
              <w:t>Droit à l'image et captation</w:t>
            </w:r>
          </w:p>
        </w:tc>
        <w:tc>
          <w:tcPr>
            <w:tcW w:type="dxa" w:w="3249"/>
          </w:tcPr>
          <w:p>
            <w:pPr>
              <w:spacing w:after="40"/>
            </w:pPr>
            <w:r/>
            <w:r>
              <w:rPr>
                <w:b w:val="0"/>
                <w:i w:val="0"/>
                <w:sz w:val="20"/>
              </w:rPr>
              <w:t>art. 10</w:t>
            </w:r>
          </w:p>
        </w:tc>
        <w:tc>
          <w:tcPr>
            <w:tcW w:type="dxa" w:w="3249"/>
          </w:tcPr>
          <w:p>
            <w:pPr>
              <w:spacing w:after="40"/>
            </w:pPr>
            <w:r/>
            <w:r>
              <w:rPr>
                <w:b w:val="0"/>
                <w:i w:val="0"/>
                <w:sz w:val="20"/>
              </w:rPr>
              <w:t>qui peut réutiliser quoi, et jusqu'à quand</w:t>
            </w:r>
          </w:p>
        </w:tc>
      </w:tr>
      <w:tr>
        <w:tc>
          <w:tcPr>
            <w:tcW w:type="dxa" w:w="3249"/>
          </w:tcPr>
          <w:p>
            <w:pPr>
              <w:spacing w:after="40"/>
            </w:pPr>
            <w:r/>
            <w:r>
              <w:rPr>
                <w:b w:val="0"/>
                <w:i w:val="0"/>
                <w:sz w:val="20"/>
              </w:rPr>
              <w:t>Données personnelles des participants</w:t>
            </w:r>
          </w:p>
        </w:tc>
        <w:tc>
          <w:tcPr>
            <w:tcW w:type="dxa" w:w="3249"/>
          </w:tcPr>
          <w:p>
            <w:pPr>
              <w:spacing w:after="40"/>
            </w:pPr>
            <w:r/>
            <w:r>
              <w:rPr>
                <w:b w:val="0"/>
                <w:i w:val="0"/>
                <w:sz w:val="20"/>
              </w:rPr>
              <w:t>art. 11</w:t>
            </w:r>
          </w:p>
        </w:tc>
        <w:tc>
          <w:tcPr>
            <w:tcW w:type="dxa" w:w="3249"/>
          </w:tcPr>
          <w:p>
            <w:pPr>
              <w:spacing w:after="40"/>
            </w:pPr>
            <w:r/>
            <w:r>
              <w:rPr>
                <w:b w:val="0"/>
                <w:i w:val="0"/>
                <w:sz w:val="20"/>
              </w:rPr>
              <w:t>aucune cession de fichier, point non négociable</w:t>
            </w:r>
          </w:p>
        </w:tc>
      </w:tr>
      <w:tr>
        <w:tc>
          <w:tcPr>
            <w:tcW w:type="dxa" w:w="3249"/>
          </w:tcPr>
          <w:p>
            <w:pPr>
              <w:spacing w:after="40"/>
            </w:pPr>
            <w:r/>
            <w:r>
              <w:rPr>
                <w:b w:val="0"/>
                <w:i w:val="0"/>
                <w:sz w:val="20"/>
              </w:rPr>
              <w:t>Compte rendu d'exécution</w:t>
            </w:r>
          </w:p>
        </w:tc>
        <w:tc>
          <w:tcPr>
            <w:tcW w:type="dxa" w:w="3249"/>
          </w:tcPr>
          <w:p>
            <w:pPr>
              <w:spacing w:after="40"/>
            </w:pPr>
            <w:r/>
            <w:r>
              <w:rPr>
                <w:b w:val="0"/>
                <w:i w:val="0"/>
                <w:sz w:val="20"/>
              </w:rPr>
              <w:t>art. 12</w:t>
            </w:r>
          </w:p>
        </w:tc>
        <w:tc>
          <w:tcPr>
            <w:tcW w:type="dxa" w:w="3249"/>
          </w:tcPr>
          <w:p>
            <w:pPr>
              <w:spacing w:after="40"/>
            </w:pPr>
            <w:r/>
            <w:r>
              <w:rPr>
                <w:b w:val="0"/>
                <w:i w:val="0"/>
                <w:sz w:val="20"/>
              </w:rPr>
              <w:t>la contrepartie de la confiance</w:t>
            </w:r>
          </w:p>
        </w:tc>
      </w:tr>
      <w:tr>
        <w:tc>
          <w:tcPr>
            <w:tcW w:type="dxa" w:w="3249"/>
          </w:tcPr>
          <w:p>
            <w:pPr>
              <w:spacing w:after="40"/>
            </w:pPr>
            <w:r/>
            <w:r>
              <w:rPr>
                <w:b w:val="0"/>
                <w:i w:val="0"/>
                <w:sz w:val="20"/>
              </w:rPr>
              <w:t>Report, annulation, force majeure</w:t>
            </w:r>
          </w:p>
        </w:tc>
        <w:tc>
          <w:tcPr>
            <w:tcW w:type="dxa" w:w="3249"/>
          </w:tcPr>
          <w:p>
            <w:pPr>
              <w:spacing w:after="40"/>
            </w:pPr>
            <w:r/>
            <w:r>
              <w:rPr>
                <w:b w:val="0"/>
                <w:i w:val="0"/>
                <w:sz w:val="20"/>
              </w:rPr>
              <w:t>art. 13</w:t>
            </w:r>
          </w:p>
        </w:tc>
        <w:tc>
          <w:tcPr>
            <w:tcW w:type="dxa" w:w="3249"/>
          </w:tcPr>
          <w:p>
            <w:pPr>
              <w:spacing w:after="40"/>
            </w:pPr>
            <w:r/>
            <w:r>
              <w:rPr>
                <w:b w:val="0"/>
                <w:i w:val="0"/>
                <w:sz w:val="20"/>
              </w:rPr>
              <w:t>le seul article qu'on relit quand ça va mal</w:t>
            </w:r>
          </w:p>
        </w:tc>
      </w:tr>
      <w:tr>
        <w:tc>
          <w:tcPr>
            <w:tcW w:type="dxa" w:w="3249"/>
          </w:tcPr>
          <w:p>
            <w:pPr>
              <w:spacing w:after="40"/>
            </w:pPr>
            <w:r/>
            <w:r>
              <w:rPr>
                <w:b w:val="0"/>
                <w:i w:val="0"/>
                <w:sz w:val="20"/>
              </w:rPr>
              <w:t>Assurance et responsabilité</w:t>
            </w:r>
          </w:p>
        </w:tc>
        <w:tc>
          <w:tcPr>
            <w:tcW w:type="dxa" w:w="3249"/>
          </w:tcPr>
          <w:p>
            <w:pPr>
              <w:spacing w:after="40"/>
            </w:pPr>
            <w:r/>
            <w:r>
              <w:rPr>
                <w:b w:val="0"/>
                <w:i w:val="0"/>
                <w:sz w:val="20"/>
              </w:rPr>
              <w:t>art. 14</w:t>
            </w:r>
          </w:p>
        </w:tc>
        <w:tc>
          <w:tcPr>
            <w:tcW w:type="dxa" w:w="3249"/>
          </w:tcPr>
          <w:p>
            <w:pPr>
              <w:spacing w:after="40"/>
            </w:pPr>
            <w:r/>
            <w:r>
              <w:rPr>
                <w:b w:val="0"/>
                <w:i w:val="0"/>
                <w:sz w:val="20"/>
              </w:rPr>
              <w:t>responsabilité civile de chacun</w:t>
            </w:r>
          </w:p>
        </w:tc>
      </w:tr>
      <w:tr>
        <w:tc>
          <w:tcPr>
            <w:tcW w:type="dxa" w:w="3249"/>
          </w:tcPr>
          <w:p>
            <w:pPr>
              <w:spacing w:after="40"/>
            </w:pPr>
            <w:r/>
            <w:r>
              <w:rPr>
                <w:b w:val="0"/>
                <w:i w:val="0"/>
                <w:sz w:val="20"/>
              </w:rPr>
              <w:t>Facturation et TVA</w:t>
            </w:r>
          </w:p>
        </w:tc>
        <w:tc>
          <w:tcPr>
            <w:tcW w:type="dxa" w:w="3249"/>
          </w:tcPr>
          <w:p>
            <w:pPr>
              <w:spacing w:after="40"/>
            </w:pPr>
            <w:r/>
            <w:r>
              <w:rPr>
                <w:b w:val="0"/>
                <w:i w:val="0"/>
                <w:sz w:val="20"/>
              </w:rPr>
              <w:t>art. 15</w:t>
            </w:r>
          </w:p>
        </w:tc>
        <w:tc>
          <w:tcPr>
            <w:tcW w:type="dxa" w:w="3249"/>
          </w:tcPr>
          <w:p>
            <w:pPr>
              <w:spacing w:after="40"/>
            </w:pPr>
            <w:r/>
            <w:r>
              <w:rPr>
                <w:b w:val="0"/>
                <w:i w:val="0"/>
                <w:sz w:val="20"/>
              </w:rPr>
              <w:t>à confirmer par le comptable</w:t>
            </w:r>
          </w:p>
        </w:tc>
      </w:tr>
      <w:tr>
        <w:tc>
          <w:tcPr>
            <w:tcW w:type="dxa" w:w="3249"/>
          </w:tcPr>
          <w:p>
            <w:pPr>
              <w:spacing w:after="40"/>
            </w:pPr>
            <w:r/>
            <w:r>
              <w:rPr>
                <w:b w:val="0"/>
                <w:i w:val="0"/>
                <w:sz w:val="20"/>
              </w:rPr>
              <w:t>Confidentialité</w:t>
            </w:r>
          </w:p>
        </w:tc>
        <w:tc>
          <w:tcPr>
            <w:tcW w:type="dxa" w:w="3249"/>
          </w:tcPr>
          <w:p>
            <w:pPr>
              <w:spacing w:after="40"/>
            </w:pPr>
            <w:r/>
            <w:r>
              <w:rPr>
                <w:b w:val="0"/>
                <w:i w:val="0"/>
                <w:sz w:val="20"/>
              </w:rPr>
              <w:t>art. 16</w:t>
            </w:r>
          </w:p>
        </w:tc>
        <w:tc>
          <w:tcPr>
            <w:tcW w:type="dxa" w:w="3249"/>
          </w:tcPr>
          <w:p>
            <w:pPr>
              <w:spacing w:after="40"/>
            </w:pPr>
            <w:r/>
            <w:r>
              <w:rPr>
                <w:b w:val="0"/>
                <w:i w:val="0"/>
                <w:sz w:val="20"/>
              </w:rPr>
              <w:t>les montants ne se racontent pas entre partenaires</w:t>
            </w:r>
          </w:p>
        </w:tc>
      </w:tr>
      <w:tr>
        <w:tc>
          <w:tcPr>
            <w:tcW w:type="dxa" w:w="3249"/>
          </w:tcPr>
          <w:p>
            <w:pPr>
              <w:spacing w:after="40"/>
            </w:pPr>
            <w:r/>
            <w:r>
              <w:rPr>
                <w:b w:val="0"/>
                <w:i w:val="0"/>
                <w:sz w:val="20"/>
              </w:rPr>
              <w:t>Résiliation et manquement</w:t>
            </w:r>
          </w:p>
        </w:tc>
        <w:tc>
          <w:tcPr>
            <w:tcW w:type="dxa" w:w="3249"/>
          </w:tcPr>
          <w:p>
            <w:pPr>
              <w:spacing w:after="40"/>
            </w:pPr>
            <w:r/>
            <w:r>
              <w:rPr>
                <w:b w:val="0"/>
                <w:i w:val="0"/>
                <w:sz w:val="20"/>
              </w:rPr>
              <w:t>art. 17</w:t>
            </w:r>
          </w:p>
        </w:tc>
        <w:tc>
          <w:tcPr>
            <w:tcW w:type="dxa" w:w="3249"/>
          </w:tcPr>
          <w:p>
            <w:pPr>
              <w:spacing w:after="40"/>
            </w:pPr>
            <w:r/>
            <w:r>
              <w:rPr>
                <w:b w:val="0"/>
                <w:i w:val="0"/>
                <w:sz w:val="20"/>
              </w:rPr>
              <w:t>mise en demeure préalable</w:t>
            </w:r>
          </w:p>
        </w:tc>
      </w:tr>
      <w:tr>
        <w:tc>
          <w:tcPr>
            <w:tcW w:type="dxa" w:w="3249"/>
          </w:tcPr>
          <w:p>
            <w:pPr>
              <w:spacing w:after="40"/>
            </w:pPr>
            <w:r/>
            <w:r>
              <w:rPr>
                <w:b w:val="0"/>
                <w:i w:val="0"/>
                <w:sz w:val="20"/>
              </w:rPr>
              <w:t>Droit applicable et juridiction</w:t>
            </w:r>
          </w:p>
        </w:tc>
        <w:tc>
          <w:tcPr>
            <w:tcW w:type="dxa" w:w="3249"/>
          </w:tcPr>
          <w:p>
            <w:pPr>
              <w:spacing w:after="40"/>
            </w:pPr>
            <w:r/>
            <w:r>
              <w:rPr>
                <w:b w:val="0"/>
                <w:i w:val="0"/>
                <w:sz w:val="20"/>
              </w:rPr>
              <w:t>art. 18</w:t>
            </w:r>
          </w:p>
        </w:tc>
        <w:tc>
          <w:tcPr>
            <w:tcW w:type="dxa" w:w="3249"/>
          </w:tcPr>
          <w:p>
            <w:pPr>
              <w:spacing w:after="40"/>
            </w:pPr>
            <w:r/>
            <w:r>
              <w:rPr>
                <w:b w:val="0"/>
                <w:i w:val="0"/>
                <w:sz w:val="20"/>
              </w:rPr>
              <w:t>droit français, l'événement est en France</w:t>
            </w:r>
          </w:p>
        </w:tc>
      </w:tr>
    </w:tbl>
    <w:p>
      <w:pPr>
        <w:spacing w:before="40" w:after="160"/>
        <w:pBdr>
          <w:bottom w:val="single" w:sz="6" w:space="1" w:color="D2CFC8"/>
        </w:pBdr>
      </w:pPr>
    </w:p>
    <w:p>
      <w:pPr>
        <w:pStyle w:val="Heading1"/>
      </w:pPr>
      <w:r>
        <w:rPr>
          <w:b/>
          <w:i w:val="0"/>
        </w:rPr>
        <w:t>Le contrat</w:t>
      </w:r>
    </w:p>
    <w:p>
      <w:r>
        <w:rPr>
          <w:b/>
          <w:i w:val="0"/>
        </w:rPr>
        <w:t>CONVENTION DE PARTENARIAT</w:t>
      </w:r>
      <w:r>
        <w:rPr>
          <w:b w:val="0"/>
          <w:i w:val="0"/>
        </w:rPr>
        <w:t xml:space="preserve"> </w:t>
      </w:r>
      <w:r>
        <w:rPr>
          <w:b/>
          <w:i w:val="0"/>
        </w:rPr>
        <w:t>Festival des Grillades de Paris, 2e édition, 11 octobre 2026</w:t>
      </w:r>
    </w:p>
    <w:p>
      <w:pPr>
        <w:pStyle w:val="Heading2"/>
      </w:pPr>
      <w:r>
        <w:rPr>
          <w:b/>
          <w:i w:val="0"/>
        </w:rPr>
        <w:t>Entre les soussignées</w:t>
      </w:r>
    </w:p>
    <w:p>
      <w:r>
        <w:rPr>
          <w:b/>
          <w:i w:val="0"/>
        </w:rPr>
        <w:t>THIM PRODUCTION</w:t>
      </w:r>
      <w:r>
        <w:rPr>
          <w:b w:val="0"/>
          <w:i w:val="0"/>
        </w:rPr>
        <w:t xml:space="preserve">, SASU au capital de 500 euros, immatriculée au RCS de Rennes sous le numéro 953 657 251, dont le siège est 22 rue Charles Duclos, 35000 Rennes, représentée par Madame Nomagbè MEÏTE épouse CADEC en sa qualité de Présidente, </w:t>
      </w:r>
      <w:r>
        <w:rPr>
          <w:b/>
          <w:i w:val="0"/>
        </w:rPr>
        <w:t>agissant en son nom propre mais pour le compte de la société ADVANTAGE CONSEILS</w:t>
      </w:r>
      <w:r>
        <w:rPr>
          <w:b w:val="0"/>
          <w:i w:val="0"/>
        </w:rPr>
        <w:t>, propriétaire du Festival des Grillades, en vertu du mandat qui lui est confié pour l'édition parisienne,</w:t>
      </w:r>
    </w:p>
    <w:p>
      <w:r>
        <w:rPr>
          <w:b w:val="0"/>
          <w:i w:val="0"/>
        </w:rPr>
        <w:t xml:space="preserve">ci-après « </w:t>
      </w:r>
      <w:r>
        <w:rPr>
          <w:b/>
          <w:i w:val="0"/>
        </w:rPr>
        <w:t>le Producteur</w:t>
      </w:r>
      <w:r>
        <w:rPr>
          <w:b w:val="0"/>
          <w:i w:val="0"/>
        </w:rPr>
        <w:t xml:space="preserve"> »,</w:t>
      </w:r>
    </w:p>
    <w:p>
      <w:r>
        <w:rPr>
          <w:b/>
          <w:i w:val="0"/>
        </w:rPr>
        <w:t>et</w:t>
      </w:r>
    </w:p>
    <w:p>
      <w:r>
        <w:rPr>
          <w:b/>
          <w:i w:val="0"/>
          <w:highlight w:val="yellow"/>
        </w:rPr>
        <w:t>[Raison sociale]</w:t>
      </w:r>
      <w:r>
        <w:rPr>
          <w:b w:val="0"/>
          <w:i w:val="0"/>
        </w:rPr>
        <w:t xml:space="preserve">, </w:t>
      </w:r>
      <w:r>
        <w:rPr>
          <w:b/>
          <w:i w:val="0"/>
          <w:highlight w:val="yellow"/>
        </w:rPr>
        <w:t>[forme sociale]</w:t>
      </w:r>
      <w:r>
        <w:rPr>
          <w:b w:val="0"/>
          <w:i w:val="0"/>
        </w:rPr>
        <w:t xml:space="preserve"> au capital de </w:t>
      </w:r>
      <w:r>
        <w:rPr>
          <w:b/>
          <w:i w:val="0"/>
          <w:highlight w:val="yellow"/>
        </w:rPr>
        <w:t>[montant]</w:t>
      </w:r>
      <w:r>
        <w:rPr>
          <w:b w:val="0"/>
          <w:i w:val="0"/>
        </w:rPr>
        <w:t xml:space="preserve">, immatriculée au RCS de </w:t>
      </w:r>
      <w:r>
        <w:rPr>
          <w:b/>
          <w:i w:val="0"/>
          <w:highlight w:val="yellow"/>
        </w:rPr>
        <w:t>[ville]</w:t>
      </w:r>
      <w:r>
        <w:rPr>
          <w:b w:val="0"/>
          <w:i w:val="0"/>
        </w:rPr>
        <w:t xml:space="preserve"> sous le numéro </w:t>
      </w:r>
      <w:r>
        <w:rPr>
          <w:b/>
          <w:i w:val="0"/>
          <w:highlight w:val="yellow"/>
        </w:rPr>
        <w:t>[numéro]</w:t>
      </w:r>
      <w:r>
        <w:rPr>
          <w:b w:val="0"/>
          <w:i w:val="0"/>
        </w:rPr>
        <w:t xml:space="preserve">, dont le siège est </w:t>
      </w:r>
      <w:r>
        <w:rPr>
          <w:b/>
          <w:i w:val="0"/>
          <w:highlight w:val="yellow"/>
        </w:rPr>
        <w:t>[adresse]</w:t>
      </w:r>
      <w:r>
        <w:rPr>
          <w:b w:val="0"/>
          <w:i w:val="0"/>
        </w:rPr>
        <w:t xml:space="preserve">, représentée par </w:t>
      </w:r>
      <w:r>
        <w:rPr>
          <w:b/>
          <w:i w:val="0"/>
          <w:highlight w:val="yellow"/>
        </w:rPr>
        <w:t>[Prénom NOM]</w:t>
      </w:r>
      <w:r>
        <w:rPr>
          <w:b w:val="0"/>
          <w:i w:val="0"/>
        </w:rPr>
        <w:t xml:space="preserve"> en sa qualité de </w:t>
      </w:r>
      <w:r>
        <w:rPr>
          <w:b/>
          <w:i w:val="0"/>
          <w:highlight w:val="yellow"/>
        </w:rPr>
        <w:t>[fonction]</w:t>
      </w:r>
      <w:r>
        <w:rPr>
          <w:b w:val="0"/>
          <w:i w:val="0"/>
        </w:rPr>
        <w:t>, dûment habilité aux fins de la présente,</w:t>
      </w:r>
    </w:p>
    <w:p>
      <w:r>
        <w:rPr>
          <w:b w:val="0"/>
          <w:i w:val="0"/>
        </w:rPr>
        <w:t xml:space="preserve">ci-après « </w:t>
      </w:r>
      <w:r>
        <w:rPr>
          <w:b/>
          <w:i w:val="0"/>
        </w:rPr>
        <w:t>le Partenaire</w:t>
      </w:r>
      <w:r>
        <w:rPr>
          <w:b w:val="0"/>
          <w:i w:val="0"/>
        </w:rPr>
        <w:t xml:space="preserve"> ».</w:t>
      </w:r>
    </w:p>
    <w:p>
      <w:pPr>
        <w:pStyle w:val="Heading2"/>
      </w:pPr>
      <w:r>
        <w:rPr>
          <w:b/>
          <w:i w:val="0"/>
        </w:rPr>
        <w:t>Article 1. Objet</w:t>
      </w:r>
    </w:p>
    <w:p>
      <w:r>
        <w:rPr>
          <w:b w:val="0"/>
          <w:i w:val="0"/>
        </w:rPr>
        <w:t>La présente convention a pour objet de définir les conditions dans lesquelles le Partenaire apporte son concours à l'édition parisienne du Festival des Grillades du 11 octobre 2026 à Bobigny, ci-après « l'Événement », en contrepartie des prestations de visibilité et d'hospitalité limitativement énumérées à l'Annexe 1.</w:t>
      </w:r>
    </w:p>
    <w:p>
      <w:pPr>
        <w:pStyle w:val="Heading2"/>
      </w:pPr>
      <w:r>
        <w:rPr>
          <w:b/>
          <w:i w:val="0"/>
        </w:rPr>
        <w:t>Article 2. Qualité du Producteur</w:t>
      </w:r>
    </w:p>
    <w:p>
      <w:r>
        <w:rPr>
          <w:b w:val="0"/>
          <w:i w:val="0"/>
        </w:rPr>
        <w:t>Le Producteur agit en qualité de mandataire d'Advantage Conseils, propriétaire du concept et de la marque Festival des Grillades, dans les limites de l'attestation de mandat communiquée au Partenaire. Le Partenaire reconnaît en avoir été informé et accepte que le Producteur soit son interlocuteur unique pour l'exécution de la présente.</w:t>
      </w:r>
    </w:p>
    <w:p>
      <w:r>
        <w:rPr>
          <w:b w:val="0"/>
          <w:i w:val="0"/>
        </w:rPr>
        <w:t>La présente convention est conclue après validation écrite du propriétaire de la manifestation. Elle n'engage les parties qu'à compter de la signature du Producteur.</w:t>
      </w:r>
    </w:p>
    <w:p>
      <w:pPr>
        <w:pStyle w:val="Heading2"/>
      </w:pPr>
      <w:r>
        <w:rPr>
          <w:b/>
          <w:i w:val="0"/>
        </w:rPr>
        <w:t>Article 3. Qualification de l'opération</w:t>
      </w:r>
    </w:p>
    <w:p>
      <w:r>
        <w:rPr>
          <w:b w:val="0"/>
          <w:i w:val="0"/>
        </w:rPr>
        <w:t xml:space="preserve">Le concours du Partenaire constitue une opération de </w:t>
      </w:r>
      <w:r>
        <w:rPr>
          <w:b/>
          <w:i w:val="0"/>
        </w:rPr>
        <w:t>parrainage</w:t>
      </w:r>
      <w:r>
        <w:rPr>
          <w:b w:val="0"/>
          <w:i w:val="0"/>
        </w:rPr>
        <w:t xml:space="preserve"> au sens de l'article 39-1-7° du code général des impôts : il est consenti dans l'intérêt direct de l'exploitation du Partenaire et en contrepartie de prestations identifiées. Il ne constitue pas un don ni une opération de mécénat, et n'ouvre droit à aucune réduction d'impôt à ce titre.</w:t>
      </w:r>
    </w:p>
    <w:p>
      <w:r>
        <w:rPr>
          <w:b/>
          <w:i w:val="0"/>
        </w:rPr>
        <w:t>Boissons alcooliques.</w:t>
      </w:r>
      <w:r>
        <w:rPr>
          <w:b w:val="0"/>
          <w:i w:val="0"/>
        </w:rPr>
        <w:t xml:space="preserve"> Les parties reconnaissent qu'en application de l'article L.3323-2 du code de la santé publique, le parrainage d'un événement par une personne physique ou morale productrice, importatrice ou distributrice de boissons alcooliques est interdit en France. La présente convention ne peut donc être conclue avec un tel opérateur au titre du parrainage. Une relation de fourniture ou de vente sur site, sans contrepartie de parrainage, relève d'un contrat distinct.</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i w:val="0"/>
          <w:color w:val="3D3D39"/>
          <w:sz w:val="21"/>
        </w:rPr>
        <w:t>Point à faire valider par un juriste avant le premier envoi.</w:t>
      </w:r>
      <w:r>
        <w:rPr>
          <w:b w:val="0"/>
          <w:i w:val="0"/>
          <w:color w:val="3D3D39"/>
          <w:sz w:val="21"/>
        </w:rPr>
        <w:t xml:space="preserve"> La frontière entre la fourniture avec visibilité et le parrainage prohibé est étroite, et la piste de dépôt-vente évoquée pour les boissons se situe exactement dessus.</w:t>
      </w:r>
    </w:p>
    <w:p>
      <w:pPr>
        <w:pStyle w:val="Heading2"/>
      </w:pPr>
      <w:r>
        <w:rPr>
          <w:b/>
          <w:i w:val="0"/>
        </w:rPr>
        <w:t>Article 4. Contreparties du Producteur</w:t>
      </w:r>
    </w:p>
    <w:p>
      <w:r>
        <w:rPr>
          <w:b w:val="0"/>
          <w:i w:val="0"/>
        </w:rPr>
        <w:t>Le Producteur s'engage à exécuter les contreparties énumérées à l'Annexe 1, et elles seules. Toute prestation non mentionnée à l'Annexe 1 n'est pas due, quelle qu'ait été la teneur des échanges préalables. Toute contrepartie supplémentaire fait l'objet d'un avenant écrit.</w:t>
      </w:r>
    </w:p>
    <w:p>
      <w:r>
        <w:rPr>
          <w:b w:val="0"/>
          <w:i w:val="0"/>
        </w:rPr>
        <w:t>Le Producteur ne garantit au Partenaire aucune retombée médiatique, aucun volume de fréquentation et aucun résultat commercial. Il garantit l'exécution des prestations décrites.</w:t>
      </w:r>
    </w:p>
    <w:p>
      <w:pPr>
        <w:pStyle w:val="Heading2"/>
      </w:pPr>
      <w:r>
        <w:rPr>
          <w:b/>
          <w:i w:val="0"/>
        </w:rPr>
        <w:t>Article 5. Prix et modalités de règlement</w:t>
      </w:r>
    </w:p>
    <w:p>
      <w:r>
        <w:rPr>
          <w:b w:val="0"/>
          <w:i w:val="0"/>
        </w:rPr>
        <w:t xml:space="preserve">En contrepartie, le Partenaire verse la somme de </w:t>
      </w:r>
      <w:r>
        <w:rPr>
          <w:b/>
          <w:i w:val="0"/>
        </w:rPr>
        <w:t>[montant] euros hors taxes</w:t>
      </w:r>
      <w:r>
        <w:rPr>
          <w:b w:val="0"/>
          <w:i w:val="0"/>
        </w:rPr>
        <w:t xml:space="preserve">, soit </w:t>
      </w:r>
      <w:r>
        <w:rPr>
          <w:b/>
          <w:i w:val="0"/>
          <w:highlight w:val="yellow"/>
        </w:rPr>
        <w:t>[montant]</w:t>
      </w:r>
      <w:r>
        <w:rPr>
          <w:b w:val="0"/>
          <w:i w:val="0"/>
        </w:rPr>
        <w:t xml:space="preserve"> euros toutes taxes comprises.</w:t>
      </w:r>
    </w:p>
    <w:p>
      <w:r>
        <w:rPr>
          <w:b w:val="0"/>
          <w:i w:val="0"/>
        </w:rPr>
        <w:t xml:space="preserve">Le règlement intervient </w:t>
      </w:r>
      <w:r>
        <w:rPr>
          <w:b/>
          <w:i w:val="0"/>
        </w:rPr>
        <w:t>en totalité à la signature</w:t>
      </w:r>
      <w:r>
        <w:rPr>
          <w:b w:val="0"/>
          <w:i w:val="0"/>
        </w:rPr>
        <w:t>, par virement sur le compte bancaire dédié à l'édition parisienne dont les coordonnées figurent sur la facture, à réception de celle-ci. La production des supports comportant les éléments du Partenaire ne débute qu'après encaissement effectif.</w:t>
      </w:r>
    </w:p>
    <w:p>
      <w:r>
        <w:rPr>
          <w:b w:val="0"/>
          <w:i w:val="0"/>
        </w:rPr>
        <w:t xml:space="preserve">En cas de partenariat en nature, la valorisation de l'apport est arrêtée à </w:t>
      </w:r>
      <w:r>
        <w:rPr>
          <w:b/>
          <w:i w:val="0"/>
        </w:rPr>
        <w:t>[montant] euros</w:t>
      </w:r>
      <w:r>
        <w:rPr>
          <w:b w:val="0"/>
          <w:i w:val="0"/>
        </w:rPr>
        <w:t>, elle est définitive et ne peut être réexaminée après l'Événement. La nature, la quantité et la date de mise à disposition de l'apport figurent à l'Annexe 2.</w:t>
      </w:r>
    </w:p>
    <w:p>
      <w:r>
        <w:rPr>
          <w:b w:val="0"/>
          <w:i w:val="0"/>
        </w:rPr>
        <w:t>Tout retard de règlement entraîne, après mise en demeure restée sans effet pendant huit jours, l'application des intérêts de retard au taux légal et la suspension des contreparties non encore exécutées.</w:t>
      </w:r>
    </w:p>
    <w:p>
      <w:pPr>
        <w:pStyle w:val="Heading2"/>
      </w:pPr>
      <w:r>
        <w:rPr>
          <w:b/>
          <w:i w:val="0"/>
        </w:rPr>
        <w:t>Article 6. Exclusivité de catégorie</w:t>
      </w:r>
    </w:p>
    <w:p>
      <w:r>
        <w:rPr>
          <w:b/>
          <w:i w:val="0"/>
          <w:highlight w:val="yellow"/>
        </w:rPr>
        <w:t>[Clause applicable au seul niveau Partenaire Officiel, à supprimer sinon.]</w:t>
      </w:r>
    </w:p>
    <w:p>
      <w:r>
        <w:rPr>
          <w:b w:val="0"/>
          <w:i w:val="0"/>
        </w:rPr>
        <w:t xml:space="preserve">Le Producteur s'engage à ne conclure aucune convention de partenariat portant sur l'Événement avec un opérateur exerçant l'activité de </w:t>
      </w:r>
      <w:r>
        <w:rPr>
          <w:b/>
          <w:i w:val="0"/>
        </w:rPr>
        <w:t>[définition de la catégorie, en termes précis et limités]</w:t>
      </w:r>
      <w:r>
        <w:rPr>
          <w:b w:val="0"/>
          <w:i w:val="0"/>
        </w:rPr>
        <w:t>. Cette exclusivité est accordée avec l'accord écrit du propriétaire de la manifestation.</w:t>
      </w:r>
    </w:p>
    <w:p>
      <w:r>
        <w:rPr>
          <w:b w:val="0"/>
          <w:i w:val="0"/>
        </w:rPr>
        <w:t>Cette exclusivité est limitée à l'édition parisienne du 11 octobre 2026, à cette activité définie, et à la durée de la présente. Elle ne s'étend ni aux autres éditions du Festival, ni aux fournisseurs et prestataires de l'Événement, ni aux partenaires médias.</w:t>
      </w:r>
    </w:p>
    <w:p>
      <w:pPr>
        <w:pStyle w:val="Heading2"/>
      </w:pPr>
      <w:r>
        <w:rPr>
          <w:b/>
          <w:i w:val="0"/>
        </w:rPr>
        <w:t>Article 7. Éléments fournis par le Partenaire</w:t>
      </w:r>
    </w:p>
    <w:p>
      <w:r>
        <w:rPr>
          <w:b w:val="0"/>
          <w:i w:val="0"/>
        </w:rPr>
        <w:t xml:space="preserve">Le Partenaire remet au Producteur, </w:t>
      </w:r>
      <w:r>
        <w:rPr>
          <w:b/>
          <w:i w:val="0"/>
        </w:rPr>
        <w:t>dans les cinq jours ouvrés suivant la signature</w:t>
      </w:r>
      <w:r>
        <w:rPr>
          <w:b w:val="0"/>
          <w:i w:val="0"/>
        </w:rPr>
        <w:t xml:space="preserve"> :</w:t>
      </w:r>
    </w:p>
    <w:p>
      <w:pPr>
        <w:pStyle w:val="ListBullet"/>
        <w:spacing w:after="80"/>
      </w:pPr>
      <w:r>
        <w:rPr>
          <w:b w:val="0"/>
          <w:i w:val="0"/>
        </w:rPr>
        <w:t>son logotype en version vectorielle et en version haute définition sur fond transparent ;</w:t>
      </w:r>
    </w:p>
    <w:p>
      <w:pPr>
        <w:pStyle w:val="ListBullet"/>
        <w:spacing w:after="80"/>
      </w:pPr>
      <w:r>
        <w:rPr>
          <w:b w:val="0"/>
          <w:i w:val="0"/>
        </w:rPr>
        <w:t>sa charte d'utilisation, le cas échéant ;</w:t>
      </w:r>
    </w:p>
    <w:p>
      <w:pPr>
        <w:pStyle w:val="ListBullet"/>
        <w:spacing w:after="80"/>
      </w:pPr>
      <w:r>
        <w:rPr>
          <w:b w:val="0"/>
          <w:i w:val="0"/>
        </w:rPr>
        <w:t>les textes et visuels qu'il souhaite voir figurer sur les supports ;</w:t>
      </w:r>
    </w:p>
    <w:p>
      <w:pPr>
        <w:pStyle w:val="ListBullet"/>
        <w:spacing w:after="80"/>
      </w:pPr>
      <w:r>
        <w:rPr>
          <w:b w:val="0"/>
          <w:i w:val="0"/>
        </w:rPr>
        <w:t>ses éventuels contenus vidéo, au format et à la durée indiqués par le Producteur ;</w:t>
      </w:r>
    </w:p>
    <w:p>
      <w:pPr>
        <w:pStyle w:val="ListBullet"/>
        <w:spacing w:after="80"/>
      </w:pPr>
      <w:r>
        <w:rPr>
          <w:b w:val="0"/>
          <w:i w:val="0"/>
        </w:rPr>
        <w:t>la liste nominative de ses invités, au plus tard quinze jours avant l'Événement.</w:t>
      </w:r>
    </w:p>
    <w:p>
      <w:r>
        <w:rPr>
          <w:b/>
          <w:i w:val="0"/>
        </w:rPr>
        <w:t>Passé le 19 septembre 2026, les éléments reçus ne peuvent plus figurer sur les supports imprimés.</w:t>
      </w:r>
      <w:r>
        <w:rPr>
          <w:b w:val="0"/>
          <w:i w:val="0"/>
        </w:rPr>
        <w:t xml:space="preserve"> Les contreparties concernées sont alors réputées exécutées, sans réduction de prix, et reportées sur les supports numériques dans la mesure du possible.</w:t>
      </w:r>
    </w:p>
    <w:p>
      <w:pPr>
        <w:pStyle w:val="Heading2"/>
      </w:pPr>
      <w:r>
        <w:rPr>
          <w:b/>
          <w:i w:val="0"/>
        </w:rPr>
        <w:t>Article 8. Validation des visuels</w:t>
      </w:r>
    </w:p>
    <w:p>
      <w:r>
        <w:rPr>
          <w:b w:val="0"/>
          <w:i w:val="0"/>
        </w:rPr>
        <w:t>Chaque partie valide par écrit, avant fabrication, les supports faisant apparaître sa marque. La validation est réputée acquise à défaut de réponse motivée dans un délai de trois jours ouvrés suivant une demande écrite, ce délai étant réduit à vingt-quatre heures dans les dix jours précédant l'Événement.</w:t>
      </w:r>
    </w:p>
    <w:p>
      <w:pPr>
        <w:pStyle w:val="Heading2"/>
      </w:pPr>
      <w:r>
        <w:rPr>
          <w:b/>
          <w:i w:val="0"/>
        </w:rPr>
        <w:t>Article 9. Propriété intellectuelle</w:t>
      </w:r>
    </w:p>
    <w:p>
      <w:r>
        <w:rPr>
          <w:b w:val="0"/>
          <w:i w:val="0"/>
        </w:rPr>
        <w:t>Chaque partie concède à l'autre, pour la seule durée de la présente et aux seules fins d'exécution des contreparties, le droit d'utiliser sa dénomination, son logotype et ses éléments de marque. Cette licence est non exclusive, non cessible, et s'éteint de plein droit au terme de la présente.</w:t>
      </w:r>
    </w:p>
    <w:p>
      <w:r>
        <w:rPr>
          <w:b w:val="0"/>
          <w:i w:val="0"/>
        </w:rPr>
        <w:t xml:space="preserve">Le Partenaire reconnaît que la marque et le concept </w:t>
      </w:r>
      <w:r>
        <w:rPr>
          <w:b/>
          <w:i w:val="0"/>
        </w:rPr>
        <w:t>Festival des Grillades</w:t>
      </w:r>
      <w:r>
        <w:rPr>
          <w:b w:val="0"/>
          <w:i w:val="0"/>
        </w:rPr>
        <w:t xml:space="preserve"> sont la propriété d'Advantage Conseils. Il n'acquiert aucun droit sur eux et ne peut les utiliser, après l'Événement, que pour rappeler sa qualité de partenaire de l'édition 2026, sans laisser entendre un partenariat en cours.</w:t>
      </w:r>
    </w:p>
    <w:p>
      <w:pPr>
        <w:pStyle w:val="Heading2"/>
      </w:pPr>
      <w:r>
        <w:rPr>
          <w:b/>
          <w:i w:val="0"/>
        </w:rPr>
        <w:t>Article 10. Captation et droit à l'image</w:t>
      </w:r>
    </w:p>
    <w:p>
      <w:r>
        <w:rPr>
          <w:b w:val="0"/>
          <w:i w:val="0"/>
        </w:rPr>
        <w:t>Le Producteur réalise ou fait réaliser une captation photographique et vidéo de l'Événement. Le Partenaire autorise l'exploitation des images sur lesquelles apparaissent sa marque, son stand et ses représentants présents, sur les supports de communication de l'Événement et du Festival, pour une durée de trois ans et sans limitation de territoire.</w:t>
      </w:r>
    </w:p>
    <w:p>
      <w:r>
        <w:rPr>
          <w:b w:val="0"/>
          <w:i w:val="0"/>
        </w:rPr>
        <w:t>Le Producteur remet au Partenaire une sélection de photographies le concernant, exploitables librement par lui pour sa propre communication, sans limitation de durée, à charge pour lui de créditer le Festival et le photographe.</w:t>
      </w:r>
    </w:p>
    <w:p>
      <w:pPr>
        <w:pStyle w:val="Heading2"/>
      </w:pPr>
      <w:r>
        <w:rPr>
          <w:b/>
          <w:i w:val="0"/>
        </w:rPr>
        <w:t>Article 11. Données personnelles</w:t>
      </w:r>
    </w:p>
    <w:p>
      <w:r>
        <w:rPr>
          <w:b w:val="0"/>
          <w:i w:val="0"/>
        </w:rPr>
        <w:t>Aucun fichier de participants, d'acheteurs de billets ou de visiteurs n'est communiqué au Partenaire, à titre gratuit comme à titre onéreux. Les données des invités transmises par le Partenaire sont traitées par le Producteur aux seules fins d'accueil, et supprimées dans les trente jours suivant l'Événement.</w:t>
      </w:r>
    </w:p>
    <w:p>
      <w:r>
        <w:rPr>
          <w:b w:val="0"/>
          <w:i w:val="0"/>
        </w:rPr>
        <w:t>Le Partenaire qui collecte des données sur son stand le fait pour son propre compte, en qualité de responsable de traitement, et en informe les personnes concernées.</w:t>
      </w:r>
    </w:p>
    <w:p>
      <w:pPr>
        <w:pStyle w:val="Heading2"/>
      </w:pPr>
      <w:r>
        <w:rPr>
          <w:b/>
          <w:i w:val="0"/>
        </w:rPr>
        <w:t>Article 12. Compte rendu d'exécution</w:t>
      </w:r>
    </w:p>
    <w:p>
      <w:r>
        <w:rPr>
          <w:b w:val="0"/>
          <w:i w:val="0"/>
        </w:rPr>
        <w:t>Le Producteur remet au Partenaire, dans un délai de vingt et un jours après l'Événement, un compte rendu comportant l'état d'exécution de chaque contrepartie, la fréquentation constatée, la portée numérique mesurée des publications concernant le Partenaire, et une sélection de visuels.</w:t>
      </w:r>
    </w:p>
    <w:p>
      <w:pPr>
        <w:pStyle w:val="Heading2"/>
      </w:pPr>
      <w:r>
        <w:rPr>
          <w:b/>
          <w:i w:val="0"/>
        </w:rPr>
        <w:t>Article 13. Report, annulation et force majeure</w:t>
      </w:r>
    </w:p>
    <w:p>
      <w:r>
        <w:rPr>
          <w:b/>
          <w:i w:val="0"/>
        </w:rPr>
        <w:t>Report.</w:t>
      </w:r>
      <w:r>
        <w:rPr>
          <w:b w:val="0"/>
          <w:i w:val="0"/>
        </w:rPr>
        <w:t xml:space="preserve"> En cas de report de l'Événement, la présente est maintenue de plein droit à la nouvelle date, avec l'intégralité de ses contreparties. Si le Partenaire ne peut être présent à la nouvelle date, les contreparties de visibilité sont maintenues et les contreparties d'hospitalité converties d'un commun accord.</w:t>
      </w:r>
    </w:p>
    <w:p>
      <w:r>
        <w:rPr>
          <w:b/>
          <w:i w:val="0"/>
        </w:rPr>
        <w:t>Annulation par le Producteur.</w:t>
      </w:r>
      <w:r>
        <w:rPr>
          <w:b w:val="0"/>
          <w:i w:val="0"/>
        </w:rPr>
        <w:t xml:space="preserve"> Le Partenaire est remboursé au prorata des contreparties non exécutées à la date de l'annonce de l'annulation, dans un délai de trente jours. Les contreparties déjà exécutées, notamment l'annonce du partenariat et les supports déjà fabriqués, restent acquises et ne sont pas remboursées.</w:t>
      </w:r>
    </w:p>
    <w:p>
      <w:r>
        <w:rPr>
          <w:b/>
          <w:i w:val="0"/>
        </w:rPr>
        <w:t>Annulation par le Partenaire.</w:t>
      </w:r>
      <w:r>
        <w:rPr>
          <w:b w:val="0"/>
          <w:i w:val="0"/>
        </w:rPr>
        <w:t xml:space="preserve"> Les sommes versées restent acquises au Producteur à hauteur des dépenses déjà engagées et des contreparties déjà exécutées.</w:t>
      </w:r>
    </w:p>
    <w:p>
      <w:r>
        <w:rPr>
          <w:b/>
          <w:i w:val="0"/>
        </w:rPr>
        <w:t>Force majeure.</w:t>
      </w:r>
      <w:r>
        <w:rPr>
          <w:b w:val="0"/>
          <w:i w:val="0"/>
        </w:rPr>
        <w:t xml:space="preserve"> Aucune des parties n'est responsable d'un manquement résultant d'un événement de force majeure au sens de l'article 1218 du code civil. Si un tel événement empêche la tenue de l'Événement, le régime du report s'applique en priorité, celui de l'annulation à défaut de nouvelle date dans les douze mois.</w:t>
      </w:r>
    </w:p>
    <w:p>
      <w:pPr>
        <w:pStyle w:val="Heading2"/>
      </w:pPr>
      <w:r>
        <w:rPr>
          <w:b/>
          <w:i w:val="0"/>
        </w:rPr>
        <w:t>Article 14. Assurance et responsabilité</w:t>
      </w:r>
    </w:p>
    <w:p>
      <w:r>
        <w:rPr>
          <w:b w:val="0"/>
          <w:i w:val="0"/>
        </w:rPr>
        <w:t>Chaque partie déclare être titulaire d'une assurance de responsabilité civile couvrant son activité, et en justifie sur demande. Le Partenaire demeure responsable des biens, matériels et personnels qu'il apporte sur le site, ainsi que des produits qu'il y distribue.</w:t>
      </w:r>
    </w:p>
    <w:p>
      <w:pPr>
        <w:pStyle w:val="Heading2"/>
      </w:pPr>
      <w:r>
        <w:rPr>
          <w:b/>
          <w:i w:val="0"/>
        </w:rPr>
        <w:t>Article 15. Facturation</w:t>
      </w:r>
    </w:p>
    <w:p>
      <w:r>
        <w:rPr>
          <w:b w:val="0"/>
          <w:i w:val="0"/>
        </w:rPr>
        <w:t>La facture est émise par le Producteur, au nom et à l'adresse figurant en tête de la présente. Le régime de taxe sur la valeur ajoutée applicable est celui mentionné sur la facture.</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i w:val="0"/>
          <w:color w:val="3D3D39"/>
          <w:sz w:val="21"/>
        </w:rPr>
        <w:t>Point à confirmer par le comptable de Thim Production avant le premier envoi</w:t>
      </w:r>
      <w:r>
        <w:rPr>
          <w:b w:val="0"/>
          <w:i w:val="0"/>
          <w:color w:val="3D3D39"/>
          <w:sz w:val="21"/>
        </w:rPr>
        <w:t>, et il porte sur deux questions distinctes : le taux de TVA applicable à une prestation de parrainage rendue à un preneur établi en France, et le traitement des sommes encaissées pour le compte d'Advantage Conseils, qui ne sont pas le chiffre d'affaires du mandataire. Un écart de vingt pour cent ne se rattrape pas après l'événement.</w:t>
      </w:r>
    </w:p>
    <w:p>
      <w:pPr>
        <w:pStyle w:val="Heading2"/>
      </w:pPr>
      <w:r>
        <w:rPr>
          <w:b/>
          <w:i w:val="0"/>
        </w:rPr>
        <w:t>Article 16. Confidentialité</w:t>
      </w:r>
    </w:p>
    <w:p>
      <w:r>
        <w:rPr>
          <w:b w:val="0"/>
          <w:i w:val="0"/>
        </w:rPr>
        <w:t>Les parties tiennent confidentiels le montant et les conditions particulières de la présente, pendant sa durée et deux ans après son terme. La qualité de partenaire de l'Événement n'est pas confidentielle et peut être communiquée par les deux parties.</w:t>
      </w:r>
    </w:p>
    <w:p>
      <w:pPr>
        <w:pStyle w:val="Heading2"/>
      </w:pPr>
      <w:r>
        <w:rPr>
          <w:b/>
          <w:i w:val="0"/>
        </w:rPr>
        <w:t>Article 17. Manquement et résiliation</w:t>
      </w:r>
    </w:p>
    <w:p>
      <w:r>
        <w:rPr>
          <w:b w:val="0"/>
          <w:i w:val="0"/>
        </w:rPr>
        <w:t>En cas de manquement d'une partie à l'une de ses obligations, l'autre peut résilier la présente quinze jours après une mise en demeure écrite restée sans effet, sans préjudice des dommages et intérêts.</w:t>
      </w:r>
    </w:p>
    <w:p>
      <w:r>
        <w:rPr>
          <w:b w:val="0"/>
          <w:i w:val="0"/>
        </w:rPr>
        <w:t>Le Producteur peut refuser ou retirer tout élément du Partenaire dont le contenu serait contraire à la loi, à l'ordre public, ou porterait atteinte à l'image du Festival, après en avoir informé le Partenaire.</w:t>
      </w:r>
    </w:p>
    <w:p>
      <w:pPr>
        <w:pStyle w:val="Heading2"/>
      </w:pPr>
      <w:r>
        <w:rPr>
          <w:b/>
          <w:i w:val="0"/>
        </w:rPr>
        <w:t>Article 18. Droit applicable et juridiction</w:t>
      </w:r>
    </w:p>
    <w:p>
      <w:r>
        <w:rPr>
          <w:b w:val="0"/>
          <w:i w:val="0"/>
        </w:rPr>
        <w:t>La présente est soumise au droit français. À défaut d'accord amiable, les litiges relèvent de la compétence du tribunal de commerce de Rennes.</w:t>
      </w:r>
    </w:p>
    <w:p>
      <w:r>
        <w:rPr>
          <w:b w:val="0"/>
          <w:i w:val="0"/>
        </w:rPr>
        <w:t>Fait à ................................, le ................................, en deux exemplaires originaux.</w:t>
      </w:r>
    </w:p>
    <w:tbl>
      <w:tblPr>
        <w:tblStyle w:val="TableGrid"/>
        <w:tblW w:type="auto" w:w="0"/>
        <w:jc w:val="left"/>
        <w:tblLayout w:type="autofit"/>
        <w:tblLook w:firstColumn="1" w:firstRow="1" w:lastColumn="0" w:lastRow="0" w:noHBand="0" w:noVBand="1" w:val="04A0"/>
      </w:tblPr>
      <w:tblGrid>
        <w:gridCol w:w="4873"/>
        <w:gridCol w:w="4873"/>
      </w:tblGrid>
      <w:tr>
        <w:trPr>
          <w:tblHeader w:val="true"/>
        </w:trPr>
        <w:tc>
          <w:tcPr>
            <w:tcW w:type="dxa" w:w="4873"/>
            <w:shd w:val="clear" w:color="auto" w:fill="EAF0F3"/>
          </w:tcPr>
          <w:p>
            <w:pPr>
              <w:spacing w:after="40"/>
            </w:pPr>
            <w:r/>
            <w:r>
              <w:rPr>
                <w:b/>
                <w:i w:val="0"/>
                <w:sz w:val="20"/>
              </w:rPr>
              <w:t>Pour le Producteur</w:t>
            </w:r>
          </w:p>
        </w:tc>
        <w:tc>
          <w:tcPr>
            <w:tcW w:type="dxa" w:w="4873"/>
            <w:shd w:val="clear" w:color="auto" w:fill="EAF0F3"/>
          </w:tcPr>
          <w:p>
            <w:pPr>
              <w:spacing w:after="40"/>
            </w:pPr>
            <w:r/>
            <w:r>
              <w:rPr>
                <w:b/>
                <w:i w:val="0"/>
                <w:sz w:val="20"/>
              </w:rPr>
              <w:t>Pour le Partenaire</w:t>
            </w:r>
          </w:p>
        </w:tc>
      </w:tr>
      <w:tr>
        <w:tc>
          <w:tcPr>
            <w:tcW w:type="dxa" w:w="4873"/>
          </w:tcPr>
          <w:p>
            <w:pPr>
              <w:spacing w:after="40"/>
            </w:pPr>
            <w:r/>
            <w:r>
              <w:rPr>
                <w:b w:val="0"/>
                <w:i w:val="0"/>
                <w:sz w:val="20"/>
              </w:rPr>
              <w:t>Thim Production</w:t>
            </w:r>
          </w:p>
        </w:tc>
        <w:tc>
          <w:tcPr>
            <w:tcW w:type="dxa" w:w="4873"/>
          </w:tcPr>
          <w:p>
            <w:pPr>
              <w:spacing w:after="40"/>
            </w:pPr>
            <w:r/>
            <w:r>
              <w:rPr>
                <w:b/>
                <w:i w:val="0"/>
                <w:sz w:val="20"/>
                <w:highlight w:val="yellow"/>
              </w:rPr>
              <w:t>[Raison sociale]</w:t>
            </w:r>
          </w:p>
        </w:tc>
      </w:tr>
      <w:tr>
        <w:tc>
          <w:tcPr>
            <w:tcW w:type="dxa" w:w="4873"/>
          </w:tcPr>
          <w:p>
            <w:pPr>
              <w:spacing w:after="40"/>
            </w:pPr>
            <w:r/>
            <w:r>
              <w:rPr>
                <w:b/>
                <w:i w:val="0"/>
                <w:sz w:val="20"/>
                <w:highlight w:val="yellow"/>
              </w:rPr>
              <w:t>[Nom, qualité]</w:t>
            </w:r>
          </w:p>
        </w:tc>
        <w:tc>
          <w:tcPr>
            <w:tcW w:type="dxa" w:w="4873"/>
          </w:tcPr>
          <w:p>
            <w:pPr>
              <w:spacing w:after="40"/>
            </w:pPr>
            <w:r/>
            <w:r>
              <w:rPr>
                <w:b/>
                <w:i w:val="0"/>
                <w:sz w:val="20"/>
                <w:highlight w:val="yellow"/>
              </w:rPr>
              <w:t>[Nom, qualité]</w:t>
            </w:r>
          </w:p>
        </w:tc>
      </w:tr>
      <w:tr>
        <w:tc>
          <w:tcPr>
            <w:tcW w:type="dxa" w:w="4873"/>
          </w:tcPr>
          <w:p>
            <w:pPr>
              <w:spacing w:after="40"/>
            </w:pPr>
            <w:r/>
            <w:r>
              <w:rPr>
                <w:b w:val="0"/>
                <w:i w:val="0"/>
                <w:sz w:val="20"/>
              </w:rPr>
              <w:t>Signature et cachet</w:t>
            </w:r>
          </w:p>
        </w:tc>
        <w:tc>
          <w:tcPr>
            <w:tcW w:type="dxa" w:w="4873"/>
          </w:tcPr>
          <w:p>
            <w:pPr>
              <w:spacing w:after="40"/>
            </w:pPr>
            <w:r/>
            <w:r>
              <w:rPr>
                <w:b w:val="0"/>
                <w:i w:val="0"/>
                <w:sz w:val="20"/>
              </w:rPr>
              <w:t>Signature et cachet</w:t>
            </w:r>
          </w:p>
        </w:tc>
      </w:tr>
    </w:tbl>
    <w:p>
      <w:pPr>
        <w:spacing w:before="40" w:after="160"/>
        <w:pBdr>
          <w:bottom w:val="single" w:sz="6" w:space="1" w:color="D2CFC8"/>
        </w:pBdr>
      </w:pPr>
    </w:p>
    <w:p>
      <w:pPr>
        <w:pStyle w:val="Heading1"/>
      </w:pPr>
      <w:r>
        <w:rPr>
          <w:b/>
          <w:i w:val="0"/>
        </w:rPr>
        <w:t>Annexe 1. Contreparties retenues</w:t>
      </w:r>
    </w:p>
    <w:tbl>
      <w:tblPr>
        <w:tblStyle w:val="TableGrid"/>
        <w:tblW w:type="auto" w:w="0"/>
        <w:jc w:val="left"/>
        <w:tblLayout w:type="autofit"/>
        <w:tblLook w:firstColumn="1" w:firstRow="1" w:lastColumn="0" w:lastRow="0" w:noHBand="0" w:noVBand="1" w:val="04A0"/>
      </w:tblPr>
      <w:tblGrid>
        <w:gridCol w:w="3249"/>
        <w:gridCol w:w="3249"/>
        <w:gridCol w:w="3249"/>
      </w:tblGrid>
      <w:tr>
        <w:trPr>
          <w:tblHeader w:val="true"/>
        </w:trPr>
        <w:tc>
          <w:tcPr>
            <w:tcW w:type="dxa" w:w="3249"/>
            <w:shd w:val="clear" w:color="auto" w:fill="EAF0F3"/>
          </w:tcPr>
          <w:p>
            <w:pPr>
              <w:spacing w:after="40"/>
            </w:pPr>
            <w:r/>
            <w:r>
              <w:rPr>
                <w:b/>
                <w:i w:val="0"/>
                <w:sz w:val="20"/>
              </w:rPr>
              <w:t>Nature</w:t>
            </w:r>
          </w:p>
        </w:tc>
        <w:tc>
          <w:tcPr>
            <w:tcW w:type="dxa" w:w="3249"/>
            <w:shd w:val="clear" w:color="auto" w:fill="EAF0F3"/>
          </w:tcPr>
          <w:p>
            <w:pPr>
              <w:spacing w:after="40"/>
            </w:pPr>
            <w:r/>
            <w:r>
              <w:rPr>
                <w:b/>
                <w:i w:val="0"/>
                <w:sz w:val="20"/>
              </w:rPr>
              <w:t>Contrepartie précise</w:t>
            </w:r>
          </w:p>
        </w:tc>
        <w:tc>
          <w:tcPr>
            <w:tcW w:type="dxa" w:w="3249"/>
            <w:shd w:val="clear" w:color="auto" w:fill="EAF0F3"/>
          </w:tcPr>
          <w:p>
            <w:pPr>
              <w:spacing w:after="40"/>
            </w:pPr>
            <w:r/>
            <w:r>
              <w:rPr>
                <w:b/>
                <w:i w:val="0"/>
                <w:sz w:val="20"/>
              </w:rPr>
              <w:t>Échéance d'exécution</w:t>
            </w:r>
          </w:p>
        </w:tc>
      </w:tr>
      <w:tr>
        <w:tc>
          <w:tcPr>
            <w:tcW w:type="dxa" w:w="3249"/>
          </w:tcPr>
          <w:p>
            <w:pPr>
              <w:spacing w:after="40"/>
            </w:pPr>
            <w:r/>
            <w:r>
              <w:rPr>
                <w:b w:val="0"/>
                <w:i w:val="0"/>
                <w:sz w:val="20"/>
              </w:rPr>
              <w:t>Visibilité sur place</w:t>
            </w:r>
          </w:p>
        </w:tc>
        <w:tc>
          <w:tcPr>
            <w:tcW w:type="dxa" w:w="3249"/>
          </w:tcPr>
          <w:p>
            <w:pPr>
              <w:spacing w:after="40"/>
            </w:pPr>
            <w:r/>
          </w:p>
        </w:tc>
        <w:tc>
          <w:tcPr>
            <w:tcW w:type="dxa" w:w="3249"/>
          </w:tcPr>
          <w:p>
            <w:pPr>
              <w:spacing w:after="40"/>
            </w:pPr>
            <w:r/>
          </w:p>
        </w:tc>
      </w:tr>
      <w:tr>
        <w:tc>
          <w:tcPr>
            <w:tcW w:type="dxa" w:w="3249"/>
          </w:tcPr>
          <w:p>
            <w:pPr>
              <w:spacing w:after="40"/>
            </w:pPr>
            <w:r/>
            <w:r>
              <w:rPr>
                <w:b w:val="0"/>
                <w:i w:val="0"/>
                <w:sz w:val="20"/>
              </w:rPr>
              <w:t>Visibilité numérique</w:t>
            </w:r>
          </w:p>
        </w:tc>
        <w:tc>
          <w:tcPr>
            <w:tcW w:type="dxa" w:w="3249"/>
          </w:tcPr>
          <w:p>
            <w:pPr>
              <w:spacing w:after="40"/>
            </w:pPr>
            <w:r/>
          </w:p>
        </w:tc>
        <w:tc>
          <w:tcPr>
            <w:tcW w:type="dxa" w:w="3249"/>
          </w:tcPr>
          <w:p>
            <w:pPr>
              <w:spacing w:after="40"/>
            </w:pPr>
            <w:r/>
          </w:p>
        </w:tc>
      </w:tr>
      <w:tr>
        <w:tc>
          <w:tcPr>
            <w:tcW w:type="dxa" w:w="3249"/>
          </w:tcPr>
          <w:p>
            <w:pPr>
              <w:spacing w:after="40"/>
            </w:pPr>
            <w:r/>
            <w:r>
              <w:rPr>
                <w:b w:val="0"/>
                <w:i w:val="0"/>
                <w:sz w:val="20"/>
              </w:rPr>
              <w:t>Prise de parole</w:t>
            </w:r>
          </w:p>
        </w:tc>
        <w:tc>
          <w:tcPr>
            <w:tcW w:type="dxa" w:w="3249"/>
          </w:tcPr>
          <w:p>
            <w:pPr>
              <w:spacing w:after="40"/>
            </w:pPr>
            <w:r/>
          </w:p>
        </w:tc>
        <w:tc>
          <w:tcPr>
            <w:tcW w:type="dxa" w:w="3249"/>
          </w:tcPr>
          <w:p>
            <w:pPr>
              <w:spacing w:after="40"/>
            </w:pPr>
            <w:r/>
          </w:p>
        </w:tc>
      </w:tr>
      <w:tr>
        <w:tc>
          <w:tcPr>
            <w:tcW w:type="dxa" w:w="3249"/>
          </w:tcPr>
          <w:p>
            <w:pPr>
              <w:spacing w:after="40"/>
            </w:pPr>
            <w:r/>
            <w:r>
              <w:rPr>
                <w:b w:val="0"/>
                <w:i w:val="0"/>
                <w:sz w:val="20"/>
              </w:rPr>
              <w:t>Hospitalité</w:t>
            </w:r>
          </w:p>
        </w:tc>
        <w:tc>
          <w:tcPr>
            <w:tcW w:type="dxa" w:w="3249"/>
          </w:tcPr>
          <w:p>
            <w:pPr>
              <w:spacing w:after="40"/>
            </w:pPr>
            <w:r/>
          </w:p>
        </w:tc>
        <w:tc>
          <w:tcPr>
            <w:tcW w:type="dxa" w:w="3249"/>
          </w:tcPr>
          <w:p>
            <w:pPr>
              <w:spacing w:after="40"/>
            </w:pPr>
            <w:r/>
          </w:p>
        </w:tc>
      </w:tr>
      <w:tr>
        <w:tc>
          <w:tcPr>
            <w:tcW w:type="dxa" w:w="3249"/>
          </w:tcPr>
          <w:p>
            <w:pPr>
              <w:spacing w:after="40"/>
            </w:pPr>
            <w:r/>
            <w:r>
              <w:rPr>
                <w:b w:val="0"/>
                <w:i w:val="0"/>
                <w:sz w:val="20"/>
              </w:rPr>
              <w:t>Contenu</w:t>
            </w:r>
          </w:p>
        </w:tc>
        <w:tc>
          <w:tcPr>
            <w:tcW w:type="dxa" w:w="3249"/>
          </w:tcPr>
          <w:p>
            <w:pPr>
              <w:spacing w:after="40"/>
            </w:pPr>
            <w:r/>
          </w:p>
        </w:tc>
        <w:tc>
          <w:tcPr>
            <w:tcW w:type="dxa" w:w="3249"/>
          </w:tcPr>
          <w:p>
            <w:pPr>
              <w:spacing w:after="40"/>
            </w:pPr>
            <w:r/>
          </w:p>
        </w:tc>
      </w:tr>
      <w:tr>
        <w:tc>
          <w:tcPr>
            <w:tcW w:type="dxa" w:w="3249"/>
          </w:tcPr>
          <w:p>
            <w:pPr>
              <w:spacing w:after="40"/>
            </w:pPr>
            <w:r/>
            <w:r>
              <w:rPr>
                <w:b w:val="0"/>
                <w:i w:val="0"/>
                <w:sz w:val="20"/>
              </w:rPr>
              <w:t>Compte rendu</w:t>
            </w:r>
          </w:p>
        </w:tc>
        <w:tc>
          <w:tcPr>
            <w:tcW w:type="dxa" w:w="3249"/>
          </w:tcPr>
          <w:p>
            <w:pPr>
              <w:spacing w:after="40"/>
            </w:pPr>
            <w:r/>
          </w:p>
        </w:tc>
        <w:tc>
          <w:tcPr>
            <w:tcW w:type="dxa" w:w="3249"/>
          </w:tcPr>
          <w:p>
            <w:pPr>
              <w:spacing w:after="40"/>
            </w:pPr>
            <w:r/>
          </w:p>
        </w:tc>
      </w:tr>
    </w:tbl>
    <w:p>
      <w:r>
        <w:rPr>
          <w:b/>
          <w:i w:val="0"/>
        </w:rPr>
        <w:t>Formule retenue :</w:t>
      </w:r>
      <w:r>
        <w:rPr>
          <w:b w:val="0"/>
          <w:i w:val="0"/>
        </w:rPr>
        <w:t xml:space="preserve"> </w:t>
      </w:r>
      <w:r>
        <w:rPr>
          <w:b/>
          <w:i w:val="0"/>
          <w:highlight w:val="yellow"/>
        </w:rPr>
        <w:t>[nom du palier]</w:t>
      </w:r>
      <w:r>
        <w:rPr>
          <w:b w:val="0"/>
          <w:i w:val="0"/>
        </w:rPr>
        <w:t xml:space="preserve"> · </w:t>
      </w:r>
      <w:r>
        <w:rPr>
          <w:b/>
          <w:i w:val="0"/>
        </w:rPr>
        <w:t>Options retenues :</w:t>
      </w:r>
      <w:r>
        <w:rPr>
          <w:b w:val="0"/>
          <w:i w:val="0"/>
        </w:rPr>
        <w:t xml:space="preserve"> </w:t>
      </w:r>
      <w:r>
        <w:rPr>
          <w:b/>
          <w:i w:val="0"/>
          <w:highlight w:val="yellow"/>
        </w:rPr>
        <w:t>[liste]</w:t>
      </w:r>
      <w:r>
        <w:rPr>
          <w:b w:val="0"/>
          <w:i w:val="0"/>
        </w:rPr>
        <w:t xml:space="preserve"> · </w:t>
      </w:r>
      <w:r>
        <w:rPr>
          <w:b/>
          <w:i w:val="0"/>
        </w:rPr>
        <w:t>Montant total :</w:t>
      </w:r>
      <w:r>
        <w:rPr>
          <w:b w:val="0"/>
          <w:i w:val="0"/>
        </w:rPr>
        <w:t xml:space="preserve"> </w:t>
      </w:r>
      <w:r>
        <w:rPr>
          <w:b/>
          <w:i w:val="0"/>
          <w:highlight w:val="yellow"/>
        </w:rPr>
        <w:t>[montant]</w:t>
      </w:r>
      <w:r>
        <w:rPr>
          <w:b w:val="0"/>
          <w:i w:val="0"/>
        </w:rPr>
        <w:t xml:space="preserve"> euros HT.</w:t>
      </w:r>
    </w:p>
    <w:p>
      <w:pPr>
        <w:pStyle w:val="Heading1"/>
      </w:pPr>
      <w:r>
        <w:rPr>
          <w:b/>
          <w:i w:val="0"/>
        </w:rPr>
        <w:t>Annexe 2. Apport en nature, le cas échéant</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EAF0F3"/>
          </w:tcPr>
          <w:p>
            <w:pPr>
              <w:spacing w:after="40"/>
            </w:pPr>
            <w:r/>
            <w:r>
              <w:rPr>
                <w:b/>
                <w:i w:val="0"/>
                <w:sz w:val="20"/>
              </w:rPr>
              <w:t>Bien ou prestation</w:t>
            </w:r>
          </w:p>
        </w:tc>
        <w:tc>
          <w:tcPr>
            <w:tcW w:type="dxa" w:w="1949"/>
            <w:shd w:val="clear" w:color="auto" w:fill="EAF0F3"/>
          </w:tcPr>
          <w:p>
            <w:pPr>
              <w:spacing w:after="40"/>
            </w:pPr>
            <w:r/>
            <w:r>
              <w:rPr>
                <w:b/>
                <w:i w:val="0"/>
                <w:sz w:val="20"/>
              </w:rPr>
              <w:t>Quantité</w:t>
            </w:r>
          </w:p>
        </w:tc>
        <w:tc>
          <w:tcPr>
            <w:tcW w:type="dxa" w:w="1949"/>
            <w:shd w:val="clear" w:color="auto" w:fill="EAF0F3"/>
          </w:tcPr>
          <w:p>
            <w:pPr>
              <w:spacing w:after="40"/>
            </w:pPr>
            <w:r/>
            <w:r>
              <w:rPr>
                <w:b/>
                <w:i w:val="0"/>
                <w:sz w:val="20"/>
              </w:rPr>
              <w:t>Valeur unitaire publique</w:t>
            </w:r>
          </w:p>
        </w:tc>
        <w:tc>
          <w:tcPr>
            <w:tcW w:type="dxa" w:w="1949"/>
            <w:shd w:val="clear" w:color="auto" w:fill="EAF0F3"/>
          </w:tcPr>
          <w:p>
            <w:pPr>
              <w:spacing w:after="40"/>
            </w:pPr>
            <w:r/>
            <w:r>
              <w:rPr>
                <w:b/>
                <w:i w:val="0"/>
                <w:sz w:val="20"/>
              </w:rPr>
              <w:t>Valeur totale retenue</w:t>
            </w:r>
          </w:p>
        </w:tc>
        <w:tc>
          <w:tcPr>
            <w:tcW w:type="dxa" w:w="1949"/>
            <w:shd w:val="clear" w:color="auto" w:fill="EAF0F3"/>
          </w:tcPr>
          <w:p>
            <w:pPr>
              <w:spacing w:after="40"/>
            </w:pPr>
            <w:r/>
            <w:r>
              <w:rPr>
                <w:b/>
                <w:i w:val="0"/>
                <w:sz w:val="20"/>
              </w:rPr>
              <w:t>Date de mise à disposition</w:t>
            </w:r>
          </w:p>
        </w:tc>
      </w:tr>
      <w:tr>
        <w:tc>
          <w:tcPr>
            <w:tcW w:type="dxa" w:w="1949"/>
          </w:tcPr>
          <w:p>
            <w:pPr>
              <w:spacing w:after="40"/>
            </w:pPr>
            <w:r/>
          </w:p>
        </w:tc>
        <w:tc>
          <w:tcPr>
            <w:tcW w:type="dxa" w:w="1949"/>
          </w:tcPr>
          <w:p>
            <w:pPr>
              <w:spacing w:after="40"/>
            </w:pPr>
            <w:r/>
          </w:p>
        </w:tc>
        <w:tc>
          <w:tcPr>
            <w:tcW w:type="dxa" w:w="1949"/>
          </w:tcPr>
          <w:p>
            <w:pPr>
              <w:spacing w:after="40"/>
            </w:pPr>
            <w:r/>
          </w:p>
        </w:tc>
        <w:tc>
          <w:tcPr>
            <w:tcW w:type="dxa" w:w="1949"/>
          </w:tcPr>
          <w:p>
            <w:pPr>
              <w:spacing w:after="40"/>
            </w:pPr>
            <w:r/>
          </w:p>
        </w:tc>
        <w:tc>
          <w:tcPr>
            <w:tcW w:type="dxa" w:w="1949"/>
          </w:tcPr>
          <w:p>
            <w:pPr>
              <w:spacing w:after="40"/>
            </w:pPr>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7"/>
      </w:rPr>
      <w:t>Festival des Grillades de Paris, 2e edition, 11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partenariat, modele type</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