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Attestation de mandat de demarchage</w:t>
      </w:r>
    </w:p>
    <w:p>
      <w:pPr>
        <w:spacing w:after="280"/>
      </w:pPr>
      <w:r>
        <w:rPr>
          <w:color w:val="84837C"/>
          <w:sz w:val="23"/>
        </w:rPr>
        <w:t>Une page, a faire signer par Advantage Conseils</w:t>
      </w:r>
    </w:p>
    <w:p>
      <w:pPr>
        <w:shd w:val="clear" w:color="auto" w:fill="FBEEEC"/>
        <w:spacing w:before="80" w:after="280"/>
        <w:pBdr>
          <w:top w:val="single" w:sz="6" w:space="6" w:color="8C3A32"/>
          <w:left w:val="single" w:sz="6" w:space="6" w:color="8C3A32"/>
          <w:bottom w:val="single" w:sz="6" w:space="6" w:color="8C3A32"/>
          <w:right w:val="single" w:sz="6" w:space="6" w:color="8C3A32"/>
        </w:pBdr>
      </w:pPr>
      <w:r>
        <w:rPr>
          <w:b/>
          <w:color w:val="8C3A32"/>
          <w:sz w:val="21"/>
        </w:rPr>
        <w:t>Quatre champs sont a completer avant signature, ils sont surlignes. Cette attestation ne remplace pas le mandat de production et ne dit rien des honoraires.</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i w:val="0"/>
          <w:color w:val="3D3D39"/>
          <w:sz w:val="21"/>
        </w:rPr>
        <w:t>À quoi elle sert et pourquoi elle est ici.</w:t>
      </w:r>
      <w:r>
        <w:rPr>
          <w:b w:val="0"/>
          <w:i w:val="0"/>
          <w:color w:val="3D3D39"/>
          <w:sz w:val="21"/>
        </w:rPr>
        <w:t xml:space="preserve"> Le mandat de production exécutive n'est pas signé, son article 9 est vide, et il ne le sera pas cette semaine. Or le démarchage des partenaires ne peut pas attendre : après l'arrêt des supports imprimés, une grande partie des contreparties n'existe plus. Cette attestation d'une page débloque la campagne sans anticiper le mandat. Elle donne trois choses : le droit d'agir pour Thim, une preuve à montrer aux partenaires sollicités, et une frontière écrite avec le démarchage central d'Abidjan. Elle </w:t>
      </w:r>
      <w:r>
        <w:rPr>
          <w:b/>
          <w:i w:val="0"/>
          <w:color w:val="3D3D39"/>
          <w:sz w:val="21"/>
        </w:rPr>
        <w:t>ne remplace pas</w:t>
      </w:r>
      <w:r>
        <w:rPr>
          <w:b w:val="0"/>
          <w:i w:val="0"/>
          <w:color w:val="3D3D39"/>
          <w:sz w:val="21"/>
        </w:rPr>
        <w:t xml:space="preserve"> le mandat et </w:t>
      </w:r>
      <w:r>
        <w:rPr>
          <w:b/>
          <w:i w:val="0"/>
          <w:color w:val="3D3D39"/>
          <w:sz w:val="21"/>
        </w:rPr>
        <w:t>n'engage rien</w:t>
      </w:r>
      <w:r>
        <w:rPr>
          <w:b w:val="0"/>
          <w:i w:val="0"/>
          <w:color w:val="3D3D39"/>
          <w:sz w:val="21"/>
        </w:rPr>
        <w:t xml:space="preserve"> sur les honoraires. À faire signer par Advantage Conseils, représentée par Florence KONE. À joindre à chaque courrier de sollicitation.</w:t>
      </w:r>
    </w:p>
    <w:p>
      <w:pPr>
        <w:spacing w:before="40" w:after="160"/>
        <w:pBdr>
          <w:bottom w:val="single" w:sz="6" w:space="1" w:color="D2CFC8"/>
        </w:pBdr>
      </w:pPr>
    </w:p>
    <w:p>
      <w:pPr>
        <w:pStyle w:val="Heading1"/>
      </w:pPr>
      <w:r>
        <w:rPr>
          <w:b/>
          <w:i w:val="0"/>
        </w:rPr>
        <w:t>Le texte à signer</w:t>
      </w:r>
    </w:p>
    <w:p>
      <w:r>
        <w:rPr>
          <w:b/>
          <w:i w:val="0"/>
        </w:rPr>
        <w:t>ATTESTATION DE MANDAT</w:t>
      </w:r>
    </w:p>
    <w:p>
      <w:r>
        <w:rPr>
          <w:b w:val="0"/>
          <w:i w:val="0"/>
        </w:rPr>
        <w:t xml:space="preserve">La société </w:t>
      </w:r>
      <w:r>
        <w:rPr>
          <w:b/>
          <w:i w:val="0"/>
        </w:rPr>
        <w:t>ADVANTAGE CONSEILS</w:t>
      </w:r>
      <w:r>
        <w:rPr>
          <w:b w:val="0"/>
          <w:i w:val="0"/>
        </w:rPr>
        <w:t xml:space="preserve">, SARL au capital de 10 000 000 FCFA, immatriculée au RCCM sous le numéro CI-ABIDJAN-2020-B-04576, dont le siège est à Abidjan, République de Côte d'Ivoire, représentée par </w:t>
      </w:r>
      <w:r>
        <w:rPr>
          <w:b/>
          <w:i w:val="0"/>
        </w:rPr>
        <w:t>Madame Florence KONE</w:t>
      </w:r>
      <w:r>
        <w:rPr>
          <w:b w:val="0"/>
          <w:i w:val="0"/>
        </w:rPr>
        <w:t xml:space="preserve">, en sa qualité de </w:t>
      </w:r>
      <w:r>
        <w:rPr>
          <w:b/>
          <w:i w:val="0"/>
          <w:highlight w:val="yellow"/>
        </w:rPr>
        <w:t>[qualité du représentant à compléter]</w:t>
      </w:r>
      <w:r>
        <w:rPr>
          <w:b w:val="0"/>
          <w:i w:val="0"/>
        </w:rPr>
        <w:t>,</w:t>
      </w:r>
    </w:p>
    <w:p>
      <w:r>
        <w:rPr>
          <w:b w:val="0"/>
          <w:i w:val="0"/>
        </w:rPr>
        <w:t xml:space="preserve">Propriétaire du concept et de la marque </w:t>
      </w:r>
      <w:r>
        <w:rPr>
          <w:b/>
          <w:i w:val="0"/>
        </w:rPr>
        <w:t>Festival des Grillades</w:t>
      </w:r>
      <w:r>
        <w:rPr>
          <w:b w:val="0"/>
          <w:i w:val="0"/>
        </w:rPr>
        <w:t>, organisatrice de l'événement depuis 2008,</w:t>
      </w:r>
    </w:p>
    <w:p>
      <w:r>
        <w:rPr>
          <w:b/>
          <w:i w:val="0"/>
        </w:rPr>
        <w:t>Atteste par la présente</w:t>
      </w:r>
      <w:r>
        <w:rPr>
          <w:b w:val="0"/>
          <w:i w:val="0"/>
        </w:rPr>
        <w:t xml:space="preserve"> que la société </w:t>
      </w:r>
      <w:r>
        <w:rPr>
          <w:b/>
          <w:i w:val="0"/>
        </w:rPr>
        <w:t>THIM PRODUCTION</w:t>
      </w:r>
      <w:r>
        <w:rPr>
          <w:b w:val="0"/>
          <w:i w:val="0"/>
        </w:rPr>
        <w:t>, SASU immatriculée au RCS de Rennes sous le numéro 953 657 251, représentée par Madame Nomagbè MEÏTE épouse CADEC, est mandatée par elle pour l'édition parisienne du Festival des Grillades du 11 octobre 2026, à l'effet de :</w:t>
      </w:r>
    </w:p>
    <w:p>
      <w:pPr>
        <w:pStyle w:val="ListNumber"/>
        <w:spacing w:after="80"/>
      </w:pPr>
      <w:r>
        <w:rPr>
          <w:b/>
          <w:i w:val="0"/>
        </w:rPr>
        <w:t>Rechercher, solliciter et négocier</w:t>
      </w:r>
      <w:r>
        <w:rPr>
          <w:b w:val="0"/>
          <w:i w:val="0"/>
        </w:rPr>
        <w:t xml:space="preserve"> des partenaires et parrains sur le territoire français ;</w:t>
      </w:r>
    </w:p>
    <w:p>
      <w:pPr>
        <w:pStyle w:val="ListNumber"/>
        <w:spacing w:after="80"/>
      </w:pPr>
      <w:r>
        <w:rPr>
          <w:b/>
          <w:i w:val="0"/>
        </w:rPr>
        <w:t>Négocier</w:t>
      </w:r>
      <w:r>
        <w:rPr>
          <w:b w:val="0"/>
          <w:i w:val="0"/>
        </w:rPr>
        <w:t xml:space="preserve"> les conventions de partenariat correspondantes et les </w:t>
      </w:r>
      <w:r>
        <w:rPr>
          <w:b/>
          <w:i w:val="0"/>
        </w:rPr>
        <w:t>soumettre à la validation écrite préalable</w:t>
      </w:r>
      <w:r>
        <w:rPr>
          <w:b w:val="0"/>
          <w:i w:val="0"/>
        </w:rPr>
        <w:t xml:space="preserve"> d'Advantage Conseils, conformément à l'article 13 du contrat de mandat. Une fois cette validation obtenue, Thim Production </w:t>
      </w:r>
      <w:r>
        <w:rPr>
          <w:b/>
          <w:i w:val="0"/>
        </w:rPr>
        <w:t>signe en son nom propre mais pour le compte d'Advantage Conseils</w:t>
      </w:r>
      <w:r>
        <w:rPr>
          <w:b w:val="0"/>
          <w:i w:val="0"/>
        </w:rPr>
        <w:t>, et encaisse le prix sur le compte bancaire dédié à l'édition parisienne ;</w:t>
      </w:r>
    </w:p>
    <w:p>
      <w:pPr>
        <w:pStyle w:val="ListNumber"/>
        <w:spacing w:after="80"/>
      </w:pPr>
      <w:r>
        <w:rPr>
          <w:b/>
          <w:i w:val="0"/>
        </w:rPr>
        <w:t>Engager</w:t>
      </w:r>
      <w:r>
        <w:rPr>
          <w:b w:val="0"/>
          <w:i w:val="0"/>
        </w:rPr>
        <w:t xml:space="preserve"> les contreparties de visibilité et d'hospitalité relatives à l'édition parisienne, dans les limites du dossier de partenariat annexé à la présente.</w:t>
      </w:r>
    </w:p>
    <w:p>
      <w:r>
        <w:rPr>
          <w:b/>
          <w:i w:val="0"/>
        </w:rPr>
        <w:t>Limites expresses du présent mandat :</w:t>
      </w:r>
    </w:p>
    <w:p>
      <w:pPr>
        <w:pStyle w:val="ListBullet"/>
        <w:spacing w:after="80"/>
      </w:pPr>
      <w:r>
        <w:rPr>
          <w:b w:val="0"/>
          <w:i w:val="0"/>
        </w:rPr>
        <w:t xml:space="preserve">Il porte sur la </w:t>
      </w:r>
      <w:r>
        <w:rPr>
          <w:b/>
          <w:i w:val="0"/>
        </w:rPr>
        <w:t>seule édition parisienne du 11 octobre 2026</w:t>
      </w:r>
      <w:r>
        <w:rPr>
          <w:b w:val="0"/>
          <w:i w:val="0"/>
        </w:rPr>
        <w:t xml:space="preserve"> et prend fin le </w:t>
      </w:r>
      <w:r>
        <w:rPr>
          <w:b/>
          <w:i w:val="0"/>
          <w:highlight w:val="yellow"/>
        </w:rPr>
        <w:t>[date de fin à compléter, proposition : 31 décembre 2026]</w:t>
      </w:r>
      <w:r>
        <w:rPr>
          <w:b w:val="0"/>
          <w:i w:val="0"/>
        </w:rPr>
        <w:t>.</w:t>
      </w:r>
    </w:p>
    <w:p>
      <w:pPr>
        <w:pStyle w:val="ListBullet"/>
        <w:spacing w:after="80"/>
      </w:pPr>
      <w:r>
        <w:rPr>
          <w:b w:val="0"/>
          <w:i w:val="0"/>
        </w:rPr>
        <w:t xml:space="preserve">Il ne couvre </w:t>
      </w:r>
      <w:r>
        <w:rPr>
          <w:b/>
          <w:i w:val="0"/>
        </w:rPr>
        <w:t>aucun engagement de contrepartie médias en Côte d'Ivoire</w:t>
      </w:r>
      <w:r>
        <w:rPr>
          <w:b w:val="0"/>
          <w:i w:val="0"/>
        </w:rPr>
        <w:t xml:space="preserve"> (affichage urbain, télévision, radio, presse ivoirienne), qui demeurent du ressort exclusif d'Advantage Conseils.</w:t>
      </w:r>
    </w:p>
    <w:p>
      <w:pPr>
        <w:pStyle w:val="ListBullet"/>
        <w:spacing w:after="80"/>
      </w:pPr>
      <w:r>
        <w:rPr>
          <w:b w:val="0"/>
          <w:i w:val="0"/>
        </w:rPr>
        <w:t xml:space="preserve">Toute </w:t>
      </w:r>
      <w:r>
        <w:rPr>
          <w:b/>
          <w:i w:val="0"/>
        </w:rPr>
        <w:t>exclusivité de catégorie</w:t>
      </w:r>
      <w:r>
        <w:rPr>
          <w:b w:val="0"/>
          <w:i w:val="0"/>
        </w:rPr>
        <w:t xml:space="preserve"> consentie à un partenaire requiert l'accord écrit préalable d'Advantage Conseils, conformément à l'article 7 du contrat de mandat.</w:t>
      </w:r>
    </w:p>
    <w:p>
      <w:pPr>
        <w:pStyle w:val="ListBullet"/>
        <w:spacing w:after="80"/>
      </w:pPr>
      <w:r>
        <w:rPr>
          <w:b w:val="0"/>
          <w:i w:val="0"/>
        </w:rPr>
        <w:t xml:space="preserve">Il ne s'étend </w:t>
      </w:r>
      <w:r>
        <w:rPr>
          <w:b/>
          <w:i w:val="0"/>
        </w:rPr>
        <w:t>pas aux comptes déjà engagés</w:t>
      </w:r>
      <w:r>
        <w:rPr>
          <w:b w:val="0"/>
          <w:i w:val="0"/>
        </w:rPr>
        <w:t xml:space="preserve"> auprès d'Advantage Conseils dans le cadre de ses accords multi-éditions. La liste de ces comptes réservés est communiquée à Thim Production et tenue à jour par Advantage Conseils. </w:t>
      </w:r>
      <w:r>
        <w:rPr>
          <w:b/>
          <w:i w:val="0"/>
        </w:rPr>
        <w:t>Toute cible non figurant sur cette liste est réputée libre.</w:t>
      </w:r>
    </w:p>
    <w:p>
      <w:pPr>
        <w:pStyle w:val="ListBullet"/>
        <w:spacing w:after="80"/>
      </w:pPr>
      <w:r>
        <w:rPr>
          <w:b w:val="0"/>
          <w:i w:val="0"/>
        </w:rPr>
        <w:t xml:space="preserve">La grille tarifaire des partenariats de l'édition parisienne est </w:t>
      </w:r>
      <w:r>
        <w:rPr>
          <w:b/>
          <w:i w:val="0"/>
        </w:rPr>
        <w:t>arrêtée par Advantage Conseils</w:t>
      </w:r>
      <w:r>
        <w:rPr>
          <w:b w:val="0"/>
          <w:i w:val="0"/>
        </w:rPr>
        <w:t xml:space="preserve"> et figure au dossier de partenariat annexé. Thim Production ne peut y déroger sans accord écrit.</w:t>
      </w:r>
    </w:p>
    <w:p>
      <w:r>
        <w:rPr>
          <w:b w:val="0"/>
          <w:i w:val="0"/>
        </w:rPr>
        <w:t>Advantage Conseils s'engage à ne pas contracter directement avec un partenaire du territoire français pendant la durée de la présente attestation, sauf accord préalable avec Thim Production.</w:t>
      </w:r>
    </w:p>
    <w:p>
      <w:r>
        <w:rPr>
          <w:b w:val="0"/>
          <w:i w:val="0"/>
        </w:rPr>
        <w:t>La rémunération de Thim Production au titre de la présente est régie par le contrat de mandat de production exécutive liant les parties. La présente attestation ne préjuge d'aucun de ses termes.</w:t>
      </w:r>
    </w:p>
    <w:p>
      <w:r>
        <w:rPr>
          <w:b w:val="0"/>
          <w:i w:val="0"/>
        </w:rPr>
        <w:t>Fait à ................................, le ................................</w:t>
      </w:r>
    </w:p>
    <w:p>
      <w:r>
        <w:rPr>
          <w:b w:val="0"/>
          <w:i w:val="0"/>
        </w:rPr>
        <w:t xml:space="preserve">Pour ADVANTAGE CONSEILS </w:t>
      </w:r>
      <w:r>
        <w:rPr>
          <w:b/>
          <w:i w:val="0"/>
          <w:highlight w:val="yellow"/>
        </w:rPr>
        <w:t>[Nom, qualité, signature et cachet]</w:t>
      </w:r>
    </w:p>
    <w:p>
      <w:pPr>
        <w:spacing w:before="40" w:after="160"/>
        <w:pBdr>
          <w:bottom w:val="single" w:sz="6" w:space="1" w:color="D2CFC8"/>
        </w:pBdr>
      </w:pPr>
    </w:p>
    <w:p>
      <w:pPr>
        <w:pStyle w:val="Heading1"/>
      </w:pPr>
      <w:r>
        <w:rPr>
          <w:b/>
          <w:i w:val="0"/>
        </w:rPr>
        <w:t>Les quatre champs à compléter avant signature</w:t>
      </w:r>
    </w:p>
    <w:tbl>
      <w:tblPr>
        <w:tblStyle w:val="TableGrid"/>
        <w:tblW w:type="auto" w:w="0"/>
        <w:jc w:val="left"/>
        <w:tblLayout w:type="autofit"/>
        <w:tblLook w:firstColumn="1" w:firstRow="1" w:lastColumn="0" w:lastRow="0" w:noHBand="0" w:noVBand="1" w:val="04A0"/>
      </w:tblPr>
      <w:tblGrid>
        <w:gridCol w:w="4873"/>
        <w:gridCol w:w="4873"/>
      </w:tblGrid>
      <w:tr>
        <w:trPr>
          <w:tblHeader w:val="true"/>
        </w:trPr>
        <w:tc>
          <w:tcPr>
            <w:tcW w:type="dxa" w:w="4873"/>
            <w:shd w:val="clear" w:color="auto" w:fill="EAF0F3"/>
          </w:tcPr>
          <w:p>
            <w:pPr>
              <w:spacing w:after="40"/>
            </w:pPr>
            <w:r/>
            <w:r>
              <w:rPr>
                <w:b/>
                <w:i w:val="0"/>
                <w:sz w:val="20"/>
              </w:rPr>
              <w:t>Champ</w:t>
            </w:r>
          </w:p>
        </w:tc>
        <w:tc>
          <w:tcPr>
            <w:tcW w:type="dxa" w:w="4873"/>
            <w:shd w:val="clear" w:color="auto" w:fill="EAF0F3"/>
          </w:tcPr>
          <w:p>
            <w:pPr>
              <w:spacing w:after="40"/>
            </w:pPr>
            <w:r/>
            <w:r>
              <w:rPr>
                <w:b/>
                <w:i w:val="0"/>
                <w:sz w:val="20"/>
              </w:rPr>
              <w:t>Qui décide</w:t>
            </w:r>
          </w:p>
        </w:tc>
      </w:tr>
      <w:tr>
        <w:tc>
          <w:tcPr>
            <w:tcW w:type="dxa" w:w="4873"/>
          </w:tcPr>
          <w:p>
            <w:pPr>
              <w:spacing w:after="40"/>
            </w:pPr>
            <w:r/>
            <w:r>
              <w:rPr>
                <w:b w:val="0"/>
                <w:i w:val="0"/>
                <w:sz w:val="20"/>
              </w:rPr>
              <w:t>Qualité exacte de Florence KONE dans la société</w:t>
            </w:r>
          </w:p>
        </w:tc>
        <w:tc>
          <w:tcPr>
            <w:tcW w:type="dxa" w:w="4873"/>
          </w:tcPr>
          <w:p>
            <w:pPr>
              <w:spacing w:after="40"/>
            </w:pPr>
            <w:r/>
            <w:r>
              <w:rPr>
                <w:b w:val="0"/>
                <w:i w:val="0"/>
                <w:sz w:val="20"/>
              </w:rPr>
              <w:t>Advantage</w:t>
            </w:r>
          </w:p>
        </w:tc>
      </w:tr>
      <w:tr>
        <w:tc>
          <w:tcPr>
            <w:tcW w:type="dxa" w:w="4873"/>
          </w:tcPr>
          <w:p>
            <w:pPr>
              <w:spacing w:after="40"/>
            </w:pPr>
            <w:r/>
            <w:r>
              <w:rPr>
                <w:b w:val="0"/>
                <w:i w:val="0"/>
                <w:sz w:val="20"/>
              </w:rPr>
              <w:t>Date de fin du mandat de démarchage</w:t>
            </w:r>
          </w:p>
        </w:tc>
        <w:tc>
          <w:tcPr>
            <w:tcW w:type="dxa" w:w="4873"/>
          </w:tcPr>
          <w:p>
            <w:pPr>
              <w:spacing w:after="40"/>
            </w:pPr>
            <w:r/>
            <w:r>
              <w:rPr>
                <w:b w:val="0"/>
                <w:i w:val="0"/>
                <w:sz w:val="20"/>
              </w:rPr>
              <w:t>Advantage, proposition faite ci-dessus</w:t>
            </w:r>
          </w:p>
        </w:tc>
      </w:tr>
      <w:tr>
        <w:tc>
          <w:tcPr>
            <w:tcW w:type="dxa" w:w="4873"/>
          </w:tcPr>
          <w:p>
            <w:pPr>
              <w:spacing w:after="40"/>
            </w:pPr>
            <w:r/>
            <w:r>
              <w:rPr>
                <w:b w:val="0"/>
                <w:i w:val="0"/>
                <w:sz w:val="20"/>
              </w:rPr>
              <w:t>Liste des comptes réservés aux accords multi-éditions</w:t>
            </w:r>
          </w:p>
        </w:tc>
        <w:tc>
          <w:tcPr>
            <w:tcW w:type="dxa" w:w="4873"/>
          </w:tcPr>
          <w:p>
            <w:pPr>
              <w:spacing w:after="40"/>
            </w:pPr>
            <w:r/>
            <w:r>
              <w:rPr>
                <w:b w:val="0"/>
                <w:i w:val="0"/>
                <w:sz w:val="20"/>
              </w:rPr>
              <w:t>Advantage, via Stéphane ATTA</w:t>
            </w:r>
          </w:p>
        </w:tc>
      </w:tr>
      <w:tr>
        <w:tc>
          <w:tcPr>
            <w:tcW w:type="dxa" w:w="4873"/>
          </w:tcPr>
          <w:p>
            <w:pPr>
              <w:spacing w:after="40"/>
            </w:pPr>
            <w:r/>
            <w:r>
              <w:rPr>
                <w:b w:val="0"/>
                <w:i w:val="0"/>
                <w:sz w:val="20"/>
              </w:rPr>
              <w:t>Dossier de partenariat annexé, montants validés</w:t>
            </w:r>
          </w:p>
        </w:tc>
        <w:tc>
          <w:tcPr>
            <w:tcW w:type="dxa" w:w="4873"/>
          </w:tcPr>
          <w:p>
            <w:pPr>
              <w:spacing w:after="40"/>
            </w:pPr>
            <w:r/>
            <w:r>
              <w:rPr>
                <w:b w:val="0"/>
                <w:i w:val="0"/>
                <w:sz w:val="20"/>
              </w:rPr>
              <w:t>Advantage, sur proposition de Thim</w:t>
            </w:r>
          </w:p>
        </w:tc>
      </w:tr>
    </w:tbl>
    <w:p>
      <w:pPr>
        <w:pStyle w:val="Heading1"/>
      </w:pPr>
      <w:r>
        <w:rPr>
          <w:b/>
          <w:i w:val="0"/>
        </w:rPr>
        <w:t>Le point à ne pas laisser passer</w:t>
      </w:r>
    </w:p>
    <w:p>
      <w:r>
        <w:rPr>
          <w:b w:val="0"/>
          <w:i w:val="0"/>
        </w:rPr>
        <w:t>La ligne 2, « encaisser le prix pour le compte d'Advantage Conseils », a une conséquence comptable directe pour Thim Production : les sommes reçues des partenaires ne sont pas son chiffre d'affaires, seule sa rémunération l'est. Cela suppose que sa facturation le reflète et que les fonds soient traçables comme tels.</w:t>
      </w:r>
    </w:p>
    <w:p>
      <w:r>
        <w:rPr>
          <w:b/>
          <w:i w:val="0"/>
        </w:rPr>
        <w:t>Sans cette mention écrite, chaque euro de sponsoring encaissé par Thim est traité comme son propre produit d'exploitation, et imposé comme tel.</w:t>
      </w:r>
      <w:r>
        <w:rPr>
          <w:b w:val="0"/>
          <w:i w:val="0"/>
        </w:rPr>
        <w:t xml:space="preserve"> Le point est à confirmer par son comptable, avec la question de la TVA applicable, avant le premier encaissement et non après.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7"/>
      </w:rPr>
      <w:t>Festival des Grillades de Paris, 2e edition, 11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Attestation de mandat de demarchage</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