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t>Cibles de sponsoring, France et diaspora</w:t>
      </w:r>
    </w:p>
    <w:p>
      <w:pPr>
        <w:spacing w:after="280"/>
      </w:pPr>
      <w:r>
        <w:rPr>
          <w:color w:val="84837C"/>
          <w:sz w:val="23"/>
        </w:rPr>
        <w:t>Par quoi commencer, l'angle a tenir, et qui decide</w:t>
      </w:r>
    </w:p>
    <w:p>
      <w:pPr>
        <w:shd w:val="clear" w:color="auto" w:fill="FBEEEC"/>
        <w:spacing w:before="80" w:after="280"/>
        <w:pBdr>
          <w:top w:val="single" w:sz="6" w:space="6" w:color="8C3A32"/>
          <w:left w:val="single" w:sz="6" w:space="6" w:color="8C3A32"/>
          <w:bottom w:val="single" w:sz="6" w:space="6" w:color="8C3A32"/>
          <w:right w:val="single" w:sz="6" w:space="6" w:color="8C3A32"/>
        </w:pBdr>
      </w:pPr>
      <w:r>
        <w:rPr>
          <w:b/>
          <w:color w:val="8C3A32"/>
          <w:sz w:val="21"/>
        </w:rPr>
        <w:t>Aucune cible n'est approchee avant d'avoir obtenu de Stephane ATTA la liste des comptes deja engages sur les accords multi-editions.</w:t>
      </w:r>
    </w:p>
    <w:p>
      <w:pPr>
        <w:spacing w:before="120" w:after="200"/>
        <w:ind w:left="283"/>
        <w:shd w:val="clear" w:color="auto" w:fill="FFFDF5"/>
        <w:pBdr>
          <w:top w:val="single" w:sz="6" w:space="6" w:color="C9A54E"/>
          <w:left w:val="single" w:sz="6" w:space="6" w:color="C9A54E"/>
          <w:bottom w:val="single" w:sz="6" w:space="6" w:color="C9A54E"/>
          <w:right w:val="single" w:sz="6" w:space="6" w:color="C9A54E"/>
        </w:pBdr>
      </w:pPr>
      <w:r>
        <w:rPr>
          <w:b w:val="0"/>
          <w:i w:val="0"/>
          <w:color w:val="3D3D39"/>
          <w:sz w:val="21"/>
        </w:rPr>
        <w:t xml:space="preserve">Périmètre arrêté : </w:t>
      </w:r>
      <w:r>
        <w:rPr>
          <w:b/>
          <w:i w:val="0"/>
          <w:color w:val="3D3D39"/>
          <w:sz w:val="21"/>
        </w:rPr>
        <w:t>France et diaspora uniquement, hors comptes déjà engagés à Abidjan.</w:t>
      </w:r>
      <w:r>
        <w:rPr>
          <w:b w:val="0"/>
          <w:i w:val="0"/>
          <w:color w:val="3D3D39"/>
          <w:sz w:val="21"/>
        </w:rPr>
        <w:t xml:space="preserve"> Le sponsoring du Festival est démarché en central depuis Abidjan sur des packages multi-éditions. Thim Production ne démarche donc que ce qui n'est pas déjà pris, et cela suppose une pièce que nous n'avons pas encore : la liste des comptes réservés.</w:t>
      </w:r>
    </w:p>
    <w:p>
      <w:pPr>
        <w:spacing w:before="40" w:after="160"/>
        <w:pBdr>
          <w:bottom w:val="single" w:sz="6" w:space="1" w:color="D2CFC8"/>
        </w:pBdr>
      </w:pPr>
    </w:p>
    <w:p>
      <w:pPr>
        <w:pStyle w:val="Heading1"/>
      </w:pPr>
      <w:r>
        <w:rPr>
          <w:b/>
          <w:i w:val="0"/>
        </w:rPr>
        <w:t>La règle de coordination, à appliquer avant le premier envoi</w:t>
      </w:r>
    </w:p>
    <w:p>
      <w:pPr>
        <w:pStyle w:val="ListNumber"/>
        <w:spacing w:after="80"/>
      </w:pPr>
      <w:r>
        <w:rPr>
          <w:b/>
          <w:i w:val="0"/>
        </w:rPr>
        <w:t>Obtenir de Stéphane ATTA</w:t>
      </w:r>
      <w:r>
        <w:rPr>
          <w:b w:val="0"/>
          <w:i w:val="0"/>
        </w:rPr>
        <w:t xml:space="preserve"> (responsable partenariats et sponsors, Advantage Conseils) la liste des comptes déjà engagés ou en négociation sur les accords multi-éditions, avec pour chacun l'information qui compte : </w:t>
      </w:r>
      <w:r>
        <w:rPr>
          <w:b/>
          <w:i w:val="0"/>
        </w:rPr>
        <w:t>l'édition de Paris est-elle déjà incluse dans son package</w:t>
      </w:r>
      <w:r>
        <w:rPr>
          <w:b w:val="0"/>
          <w:i w:val="0"/>
        </w:rPr>
        <w:t xml:space="preserve"> ou non.</w:t>
      </w:r>
    </w:p>
    <w:p>
      <w:pPr>
        <w:pStyle w:val="ListNumber"/>
        <w:spacing w:after="80"/>
      </w:pPr>
      <w:r>
        <w:rPr>
          <w:b/>
          <w:i w:val="0"/>
        </w:rPr>
        <w:t>Toute cible qui n'est pas sur cette liste est réputée libre</w:t>
      </w:r>
      <w:r>
        <w:rPr>
          <w:b w:val="0"/>
          <w:i w:val="0"/>
        </w:rPr>
        <w:t>, c'est écrit dans l'attestation de mandat. Sans cette inversion de la charge, chaque approche exigerait une autorisation et la campagne ne partirait jamais.</w:t>
      </w:r>
    </w:p>
    <w:p>
      <w:pPr>
        <w:pStyle w:val="ListNumber"/>
        <w:spacing w:after="80"/>
      </w:pPr>
      <w:r>
        <w:rPr>
          <w:b/>
          <w:i w:val="0"/>
        </w:rPr>
        <w:t>Les filiales françaises de groupes déjà engagés à Abidjan sont un cas à part</w:t>
      </w:r>
      <w:r>
        <w:rPr>
          <w:b w:val="0"/>
          <w:i w:val="0"/>
        </w:rPr>
        <w:t xml:space="preserve"> : elles ont leur propre budget et leur propre décideur, mais une approche mal coordonnée se voit immédiatement au siège. Elles ne sont approchées qu'après accord écrit de Stéphane ATTA.</w:t>
      </w:r>
    </w:p>
    <w:p>
      <w:pPr>
        <w:pStyle w:val="ListNumber"/>
        <w:spacing w:after="80"/>
      </w:pPr>
      <w:r>
        <w:rPr>
          <w:b/>
          <w:i w:val="0"/>
        </w:rPr>
        <w:t>Une cible approchée est inscrite au carnet de contacts</w:t>
      </w:r>
      <w:r>
        <w:rPr>
          <w:b w:val="0"/>
          <w:i w:val="0"/>
        </w:rPr>
        <w:t xml:space="preserve"> de l'espace de pilotage, avec la date et l'auteur. C'est ce qui empêche deux structures de solliciter la même entreprise à dix jours d'intervalle.</w:t>
      </w:r>
    </w:p>
    <w:p>
      <w:pPr>
        <w:spacing w:before="40" w:after="160"/>
        <w:pBdr>
          <w:bottom w:val="single" w:sz="6" w:space="1" w:color="D2CFC8"/>
        </w:pBdr>
      </w:pPr>
    </w:p>
    <w:p>
      <w:pPr>
        <w:pStyle w:val="Heading1"/>
      </w:pPr>
      <w:r>
        <w:rPr>
          <w:b/>
          <w:i w:val="0"/>
        </w:rPr>
        <w:t>Les catégories, par ordre de probabilité de signature</w:t>
      </w:r>
    </w:p>
    <w:p>
      <w:r>
        <w:rPr>
          <w:b w:val="0"/>
          <w:i w:val="0"/>
        </w:rPr>
        <w:t xml:space="preserve">Chaque catégorie est décrite par ce qui la fait acheter, l'angle à tenir, qui décide, et des candidats </w:t>
      </w:r>
      <w:r>
        <w:rPr>
          <w:b/>
          <w:i w:val="0"/>
        </w:rPr>
        <w:t>à qualifier</w:t>
      </w:r>
      <w:r>
        <w:rPr>
          <w:b w:val="0"/>
          <w:i w:val="0"/>
        </w:rPr>
        <w:t xml:space="preserve"> (aucun n'est confirmé, aucun n'a été contacté).</w:t>
      </w:r>
    </w:p>
    <w:p>
      <w:pPr>
        <w:pStyle w:val="Heading2"/>
      </w:pPr>
      <w:r>
        <w:rPr>
          <w:b/>
          <w:i w:val="0"/>
        </w:rPr>
        <w:t>1. Transfert d'argent vers l'Afrique</w:t>
      </w:r>
    </w:p>
    <w:p>
      <w:r>
        <w:rPr>
          <w:b/>
          <w:i w:val="0"/>
        </w:rPr>
        <w:t>Pourquoi ils achètent.</w:t>
      </w:r>
      <w:r>
        <w:rPr>
          <w:b w:val="0"/>
          <w:i w:val="0"/>
        </w:rPr>
        <w:t xml:space="preserve"> Leur clientèle est exactement le public de la soirée, et leur métier se gagne sur la recommandation entre proches, pas sur la publicité. Ils ont des budgets de sponsoring communautaire structurés et l'habitude de ce type d'opération. </w:t>
      </w:r>
      <w:r>
        <w:rPr>
          <w:b/>
          <w:i w:val="0"/>
        </w:rPr>
        <w:t>Angle.</w:t>
      </w:r>
      <w:r>
        <w:rPr>
          <w:b w:val="0"/>
          <w:i w:val="0"/>
        </w:rPr>
        <w:t xml:space="preserve"> « Le public de cette salle envoie de l'argent tous les mois. » </w:t>
      </w:r>
      <w:r>
        <w:rPr>
          <w:b/>
          <w:i w:val="0"/>
        </w:rPr>
        <w:t>Qui décide.</w:t>
      </w:r>
      <w:r>
        <w:rPr>
          <w:b w:val="0"/>
          <w:i w:val="0"/>
        </w:rPr>
        <w:t xml:space="preserve"> Responsable marketing communautaire ou responsable de la zone Afrique de l'Ouest, rarement le directeur général. </w:t>
      </w:r>
      <w:r>
        <w:rPr>
          <w:b/>
          <w:i w:val="0"/>
        </w:rPr>
        <w:t>À qualifier.</w:t>
      </w:r>
      <w:r>
        <w:rPr>
          <w:b w:val="0"/>
          <w:i w:val="0"/>
        </w:rPr>
        <w:t xml:space="preserve"> Opérateurs historiques de transfert, opérateurs numériques ciblant la diaspora, services de transfert adossés aux fintechs. Vérifier en priorité s'ils sont déjà dans un package Abidjan. </w:t>
      </w:r>
      <w:r>
        <w:rPr>
          <w:b/>
          <w:i w:val="0"/>
        </w:rPr>
        <w:t>Le meilleur candidat pour le palier Officiel avec exclusivité de catégorie.</w:t>
      </w:r>
    </w:p>
    <w:p>
      <w:pPr>
        <w:pStyle w:val="Heading2"/>
      </w:pPr>
      <w:r>
        <w:rPr>
          <w:b/>
          <w:i w:val="0"/>
        </w:rPr>
        <w:t>2. Téléphonie et appels internationaux</w:t>
      </w:r>
    </w:p>
    <w:p>
      <w:r>
        <w:rPr>
          <w:b/>
          <w:i w:val="0"/>
        </w:rPr>
        <w:t>Pourquoi ils achètent.</w:t>
      </w:r>
      <w:r>
        <w:rPr>
          <w:b w:val="0"/>
          <w:i w:val="0"/>
        </w:rPr>
        <w:t xml:space="preserve"> Marché très concurrentiel sur la diaspora, décision d'achat guidée par le bouche-à-oreille, et une présence événementielle assumée. </w:t>
      </w:r>
      <w:r>
        <w:rPr>
          <w:b/>
          <w:i w:val="0"/>
        </w:rPr>
        <w:t>Angle.</w:t>
      </w:r>
      <w:r>
        <w:rPr>
          <w:b w:val="0"/>
          <w:i w:val="0"/>
        </w:rPr>
        <w:t xml:space="preserve"> « Ce public appelle Abidjan chaque semaine. » </w:t>
      </w:r>
      <w:r>
        <w:rPr>
          <w:b/>
          <w:i w:val="0"/>
        </w:rPr>
        <w:t>Qui décide.</w:t>
      </w:r>
      <w:r>
        <w:rPr>
          <w:b w:val="0"/>
          <w:i w:val="0"/>
        </w:rPr>
        <w:t xml:space="preserve"> Marketing France, décision rapide sur des montants moyens. </w:t>
      </w:r>
      <w:r>
        <w:rPr>
          <w:b/>
          <w:i w:val="0"/>
        </w:rPr>
        <w:t>À qualifier.</w:t>
      </w:r>
      <w:r>
        <w:rPr>
          <w:b w:val="0"/>
          <w:i w:val="0"/>
        </w:rPr>
        <w:t xml:space="preserve"> Opérateurs mobiles virtuels spécialisés diaspora, cartes d'appel, applications d'appel international. Les grands opérateurs nationaux sont plus lents et souvent déjà engagés ailleurs.</w:t>
      </w:r>
    </w:p>
    <w:p>
      <w:pPr>
        <w:pStyle w:val="Heading2"/>
      </w:pPr>
      <w:r>
        <w:rPr>
          <w:b/>
          <w:i w:val="0"/>
        </w:rPr>
        <w:t>3. Assurance, prévoyance, rapatriement, obsèques</w:t>
      </w:r>
    </w:p>
    <w:p>
      <w:r>
        <w:rPr>
          <w:b/>
          <w:i w:val="0"/>
        </w:rPr>
        <w:t>Pourquoi ils achètent.</w:t>
      </w:r>
      <w:r>
        <w:rPr>
          <w:b w:val="0"/>
          <w:i w:val="0"/>
        </w:rPr>
        <w:t xml:space="preserve"> C'est le produit financier le plus vendu dans la diaspora ouest africaine, et il se vend sur la confiance et le sérieux, jamais sur le prix. Une soirée familiale est le bon cadre, une soirée festive mal choisie est le mauvais. </w:t>
      </w:r>
      <w:r>
        <w:rPr>
          <w:b/>
          <w:i w:val="0"/>
        </w:rPr>
        <w:t>Angle.</w:t>
      </w:r>
      <w:r>
        <w:rPr>
          <w:b w:val="0"/>
          <w:i w:val="0"/>
        </w:rPr>
        <w:t xml:space="preserve"> « Vos sujets se traitent en confiance, et la confiance se gagne là où les familles se retrouvent. » </w:t>
      </w:r>
      <w:r>
        <w:rPr>
          <w:b/>
          <w:i w:val="0"/>
        </w:rPr>
        <w:t>Qui décide.</w:t>
      </w:r>
      <w:r>
        <w:rPr>
          <w:b w:val="0"/>
          <w:i w:val="0"/>
        </w:rPr>
        <w:t xml:space="preserve"> Direction commerciale ou courtier grossiste. </w:t>
      </w:r>
      <w:r>
        <w:rPr>
          <w:b/>
          <w:i w:val="0"/>
        </w:rPr>
        <w:t>Attention.</w:t>
      </w:r>
      <w:r>
        <w:rPr>
          <w:b w:val="0"/>
          <w:i w:val="0"/>
        </w:rPr>
        <w:t xml:space="preserve"> Contrepartie à cadrer : un stand oui, une prise de parole sur scène sur un sujet d'obsèques non. Le ton de la soirée compte plus que le montant.</w:t>
      </w:r>
    </w:p>
    <w:p>
      <w:pPr>
        <w:pStyle w:val="Heading2"/>
      </w:pPr>
      <w:r>
        <w:rPr>
          <w:b/>
          <w:i w:val="0"/>
        </w:rPr>
        <w:t>4. Transport aérien, voyage, colis et fret</w:t>
      </w:r>
    </w:p>
    <w:p>
      <w:r>
        <w:rPr>
          <w:b/>
          <w:i w:val="0"/>
        </w:rPr>
        <w:t>Pourquoi ils achètent.</w:t>
      </w:r>
      <w:r>
        <w:rPr>
          <w:b w:val="0"/>
          <w:i w:val="0"/>
        </w:rPr>
        <w:t xml:space="preserve"> Le lien Paris Abidjan est le sujet quotidien de ce public. Forte capacité à payer en nature, notamment en billets, ce qui ouvre le partenariat mixte. </w:t>
      </w:r>
      <w:r>
        <w:rPr>
          <w:b/>
          <w:i w:val="0"/>
        </w:rPr>
        <w:t>Angle.</w:t>
      </w:r>
      <w:r>
        <w:rPr>
          <w:b w:val="0"/>
          <w:i w:val="0"/>
        </w:rPr>
        <w:t xml:space="preserve"> « Chaque famille présente voyage ou envoie. » </w:t>
      </w:r>
      <w:r>
        <w:rPr>
          <w:b/>
          <w:i w:val="0"/>
        </w:rPr>
        <w:t>Qui décide.</w:t>
      </w:r>
      <w:r>
        <w:rPr>
          <w:b w:val="0"/>
          <w:i w:val="0"/>
        </w:rPr>
        <w:t xml:space="preserve"> Direction régionale France ou responsable diaspora. </w:t>
      </w:r>
      <w:r>
        <w:rPr>
          <w:b/>
          <w:i w:val="0"/>
        </w:rPr>
        <w:t>À déclarer.</w:t>
      </w:r>
      <w:r>
        <w:rPr>
          <w:b w:val="0"/>
          <w:i w:val="0"/>
        </w:rPr>
        <w:t xml:space="preserve"> L'agence accompagne par ailleurs un opérateur du colis diaspora. Toute approche de cette catégorie se déclare à Thim et à Advantage avant envoi, pas après.</w:t>
      </w:r>
    </w:p>
    <w:p>
      <w:pPr>
        <w:pStyle w:val="Heading2"/>
      </w:pPr>
      <w:r>
        <w:rPr>
          <w:b/>
          <w:i w:val="0"/>
        </w:rPr>
        <w:t>5. Immobilier et promotion en Côte d'Ivoire</w:t>
      </w:r>
    </w:p>
    <w:p>
      <w:r>
        <w:rPr>
          <w:b/>
          <w:i w:val="0"/>
        </w:rPr>
        <w:t>Pourquoi ils achètent.</w:t>
      </w:r>
      <w:r>
        <w:rPr>
          <w:b w:val="0"/>
          <w:i w:val="0"/>
        </w:rPr>
        <w:t xml:space="preserve"> Ils dépensent déjà pour faire venir cette audience exacte dans des salons parisiens. Une soirée où elle vient d'elle-même coûte moins cher qu'un salon. </w:t>
      </w:r>
      <w:r>
        <w:rPr>
          <w:b/>
          <w:i w:val="0"/>
        </w:rPr>
        <w:t>Angle.</w:t>
      </w:r>
      <w:r>
        <w:rPr>
          <w:b w:val="0"/>
          <w:i w:val="0"/>
        </w:rPr>
        <w:t xml:space="preserve"> « Votre clientèle sera dans la salle, sans que vous ayez eu à la faire venir. » </w:t>
      </w:r>
      <w:r>
        <w:rPr>
          <w:b/>
          <w:i w:val="0"/>
        </w:rPr>
        <w:t>Qui décide.</w:t>
      </w:r>
      <w:r>
        <w:rPr>
          <w:b w:val="0"/>
          <w:i w:val="0"/>
        </w:rPr>
        <w:t xml:space="preserve"> Le dirigeant, directement. Cycle de décision court. </w:t>
      </w:r>
      <w:r>
        <w:rPr>
          <w:b/>
          <w:i w:val="0"/>
        </w:rPr>
        <w:t>Vigilance.</w:t>
      </w:r>
      <w:r>
        <w:rPr>
          <w:b w:val="0"/>
          <w:i w:val="0"/>
        </w:rPr>
        <w:t xml:space="preserve"> Vérifier la solidité du promoteur avant d'associer son nom au Festival. Un partenaire qui déçoit ses clients éclabousse l'événement qui l'a présenté.</w:t>
      </w:r>
    </w:p>
    <w:p>
      <w:pPr>
        <w:pStyle w:val="Heading2"/>
      </w:pPr>
      <w:r>
        <w:rPr>
          <w:b/>
          <w:i w:val="0"/>
        </w:rPr>
        <w:t>6. Agroalimentaire, boissons non alcoolisées, distribution de produits africains</w:t>
      </w:r>
    </w:p>
    <w:p>
      <w:r>
        <w:rPr>
          <w:b/>
          <w:i w:val="0"/>
        </w:rPr>
        <w:t>Pourquoi ils achètent.</w:t>
      </w:r>
      <w:r>
        <w:rPr>
          <w:b w:val="0"/>
          <w:i w:val="0"/>
        </w:rPr>
        <w:t xml:space="preserve"> C'est un festival de cuisine : leurs produits ne sont pas exposés, ils sont consommés. Aucune autre catégorie n'a une démonstration aussi naturelle. </w:t>
      </w:r>
      <w:r>
        <w:rPr>
          <w:b/>
          <w:i w:val="0"/>
        </w:rPr>
        <w:t>Angle.</w:t>
      </w:r>
      <w:r>
        <w:rPr>
          <w:b w:val="0"/>
          <w:i w:val="0"/>
        </w:rPr>
        <w:t xml:space="preserve"> « Ici, on goûte. » </w:t>
      </w:r>
      <w:r>
        <w:rPr>
          <w:b/>
          <w:i w:val="0"/>
        </w:rPr>
        <w:t>Qui décide.</w:t>
      </w:r>
      <w:r>
        <w:rPr>
          <w:b w:val="0"/>
          <w:i w:val="0"/>
        </w:rPr>
        <w:t xml:space="preserve"> Marketing de marque ou direction commerciale de l'importateur. </w:t>
      </w:r>
      <w:r>
        <w:rPr>
          <w:b/>
          <w:i w:val="0"/>
        </w:rPr>
        <w:t>Interdiction à connaître.</w:t>
      </w:r>
      <w:r>
        <w:rPr>
          <w:b w:val="0"/>
          <w:i w:val="0"/>
        </w:rPr>
        <w:t xml:space="preserve"> Les producteurs, importateurs et distributeurs de </w:t>
      </w:r>
      <w:r>
        <w:rPr>
          <w:b/>
          <w:i w:val="0"/>
        </w:rPr>
        <w:t>boissons alcooliques ne peuvent pas être parrains</w:t>
      </w:r>
      <w:r>
        <w:rPr>
          <w:b w:val="0"/>
          <w:i w:val="0"/>
        </w:rPr>
        <w:t xml:space="preserve"> d'un événement en France, c'est l'article L.3323-2 du code de la santé publique. Ils peuvent fournir ou vendre sur site dans un cadre distinct. La piste de dépôt-vente avec une marque de champagne évoquée en séance technique relève de ce cadre, pas d'un package de partenariat. Point à faire confirmer par un juriste.</w:t>
      </w:r>
    </w:p>
    <w:p>
      <w:pPr>
        <w:pStyle w:val="Heading2"/>
      </w:pPr>
      <w:r>
        <w:rPr>
          <w:b/>
          <w:i w:val="0"/>
        </w:rPr>
        <w:t>7. Commerces, cabinets et PME de la communauté</w:t>
      </w:r>
    </w:p>
    <w:p>
      <w:r>
        <w:rPr>
          <w:b/>
          <w:i w:val="0"/>
        </w:rPr>
        <w:t>Pourquoi ils achètent.</w:t>
      </w:r>
      <w:r>
        <w:rPr>
          <w:b w:val="0"/>
          <w:i w:val="0"/>
        </w:rPr>
        <w:t xml:space="preserve"> Visibilité locale immédiate auprès de leur clientèle réelle, et fierté d'être associés à l'événement. C'est le volume du palier Contributeur. </w:t>
      </w:r>
      <w:r>
        <w:rPr>
          <w:b/>
          <w:i w:val="0"/>
        </w:rPr>
        <w:t>Angle.</w:t>
      </w:r>
      <w:r>
        <w:rPr>
          <w:b w:val="0"/>
          <w:i w:val="0"/>
        </w:rPr>
        <w:t xml:space="preserve"> « Votre nom sur le mur des partenaires, devant vos clients. » </w:t>
      </w:r>
      <w:r>
        <w:rPr>
          <w:b/>
          <w:i w:val="0"/>
        </w:rPr>
        <w:t>Qui décide.</w:t>
      </w:r>
      <w:r>
        <w:rPr>
          <w:b w:val="0"/>
          <w:i w:val="0"/>
        </w:rPr>
        <w:t xml:space="preserve"> Le dirigeant, en une conversation. </w:t>
      </w:r>
      <w:r>
        <w:rPr>
          <w:b/>
          <w:i w:val="0"/>
        </w:rPr>
        <w:t>Comment.</w:t>
      </w:r>
      <w:r>
        <w:rPr>
          <w:b w:val="0"/>
          <w:i w:val="0"/>
        </w:rPr>
        <w:t xml:space="preserve"> Par WhatsApp et par recommandation, jamais par courrier officiel. Dix partenaires Contributeurs se signent plus vite qu'un Prestige, et ils financent le socle.</w:t>
      </w:r>
    </w:p>
    <w:p>
      <w:pPr>
        <w:pStyle w:val="Heading2"/>
      </w:pPr>
      <w:r>
        <w:rPr>
          <w:b/>
          <w:i w:val="0"/>
        </w:rPr>
        <w:t>8. Institutions et collectivités</w:t>
      </w:r>
    </w:p>
    <w:p>
      <w:r>
        <w:rPr>
          <w:b/>
          <w:i w:val="0"/>
        </w:rPr>
        <w:t>Pourquoi ils soutiennent.</w:t>
      </w:r>
      <w:r>
        <w:rPr>
          <w:b w:val="0"/>
          <w:i w:val="0"/>
        </w:rPr>
        <w:t xml:space="preserve"> Valorisation du lien culturel et économique France Côte d'Ivoire, animation du territoire. Ils apportent rarement de l'argent, souvent de la légitimité, parfois des moyens. </w:t>
      </w:r>
      <w:r>
        <w:rPr>
          <w:b/>
          <w:i w:val="0"/>
        </w:rPr>
        <w:t>Angle.</w:t>
      </w:r>
      <w:r>
        <w:rPr>
          <w:b w:val="0"/>
          <w:i w:val="0"/>
        </w:rPr>
        <w:t xml:space="preserve"> Patronage et soutien, pas parrainage. </w:t>
      </w:r>
      <w:r>
        <w:rPr>
          <w:b/>
          <w:i w:val="0"/>
        </w:rPr>
        <w:t>À qualifier.</w:t>
      </w:r>
      <w:r>
        <w:rPr>
          <w:b w:val="0"/>
          <w:i w:val="0"/>
        </w:rPr>
        <w:t xml:space="preserve"> Ville d'accueil, département, chambres de commerce bilatérales, représentation diplomatique ivoirienne en France, opérateurs culturels. </w:t>
      </w:r>
      <w:r>
        <w:rPr>
          <w:b/>
          <w:i w:val="0"/>
        </w:rPr>
        <w:t>Vigilance.</w:t>
      </w:r>
      <w:r>
        <w:rPr>
          <w:b w:val="0"/>
          <w:i w:val="0"/>
        </w:rPr>
        <w:t xml:space="preserve"> Les délais institutionnels sont longs. Sollicités maintenant, ils servent surtout l'édition 2027. Sauf la ville d'accueil, à solliciter dès à présent, ne serait-ce que pour la bonne tenue du dossier de sécurité.</w:t>
      </w:r>
    </w:p>
    <w:p>
      <w:pPr>
        <w:pStyle w:val="Heading2"/>
      </w:pPr>
      <w:r>
        <w:rPr>
          <w:b/>
          <w:i w:val="0"/>
        </w:rPr>
        <w:t>9. Médias</w:t>
      </w:r>
    </w:p>
    <w:p>
      <w:r>
        <w:rPr>
          <w:b/>
          <w:i w:val="0"/>
        </w:rPr>
        <w:t>Pourquoi ils s'associent.</w:t>
      </w:r>
      <w:r>
        <w:rPr>
          <w:b w:val="0"/>
          <w:i w:val="0"/>
        </w:rPr>
        <w:t xml:space="preserve"> Ils ne paient pas, ils échangent de la visibilité contre du contenu et de l'accès. Un partenaire média crédibilise la campagne auprès des autres partenaires. </w:t>
      </w:r>
      <w:r>
        <w:rPr>
          <w:b/>
          <w:i w:val="0"/>
        </w:rPr>
        <w:t>Angle.</w:t>
      </w:r>
      <w:r>
        <w:rPr>
          <w:b w:val="0"/>
          <w:i w:val="0"/>
        </w:rPr>
        <w:t xml:space="preserve"> Échange, jamais achat d'espace. </w:t>
      </w:r>
      <w:r>
        <w:rPr>
          <w:b/>
          <w:i w:val="0"/>
        </w:rPr>
        <w:t>À qualifier.</w:t>
      </w:r>
      <w:r>
        <w:rPr>
          <w:b w:val="0"/>
          <w:i w:val="0"/>
        </w:rPr>
        <w:t xml:space="preserve"> Radios et chaînes visant la diaspora africaine, médias en ligne communautaires, podcasts culinaires. </w:t>
      </w:r>
      <w:r>
        <w:rPr>
          <w:b/>
          <w:i w:val="0"/>
        </w:rPr>
        <w:t>À signer en premier.</w:t>
      </w:r>
      <w:r>
        <w:rPr>
          <w:b w:val="0"/>
          <w:i w:val="0"/>
        </w:rPr>
        <w:t xml:space="preserve"> Un partenaire média annoncé rend les autres conversations plus faciles.</w:t>
      </w:r>
    </w:p>
    <w:p>
      <w:pPr>
        <w:spacing w:before="40" w:after="160"/>
        <w:pBdr>
          <w:bottom w:val="single" w:sz="6" w:space="1" w:color="D2CFC8"/>
        </w:pBdr>
      </w:pPr>
    </w:p>
    <w:p>
      <w:pPr>
        <w:pStyle w:val="Heading1"/>
      </w:pPr>
      <w:r>
        <w:rPr>
          <w:b/>
          <w:i w:val="0"/>
        </w:rPr>
        <w:t>L'ordre de marche</w:t>
      </w:r>
    </w:p>
    <w:tbl>
      <w:tblPr>
        <w:tblStyle w:val="TableGrid"/>
        <w:tblW w:type="auto" w:w="0"/>
        <w:jc w:val="left"/>
        <w:tblLayout w:type="autofit"/>
        <w:tblLook w:firstColumn="1" w:firstRow="1" w:lastColumn="0" w:lastRow="0" w:noHBand="0" w:noVBand="1" w:val="04A0"/>
      </w:tblPr>
      <w:tblGrid>
        <w:gridCol w:w="3249"/>
        <w:gridCol w:w="3249"/>
        <w:gridCol w:w="3249"/>
      </w:tblGrid>
      <w:tr>
        <w:trPr>
          <w:tblHeader w:val="true"/>
        </w:trPr>
        <w:tc>
          <w:tcPr>
            <w:tcW w:type="dxa" w:w="3249"/>
            <w:shd w:val="clear" w:color="auto" w:fill="EAF0F3"/>
          </w:tcPr>
          <w:p>
            <w:pPr>
              <w:spacing w:after="40"/>
            </w:pPr>
            <w:r/>
            <w:r>
              <w:rPr>
                <w:b/>
                <w:i w:val="0"/>
                <w:sz w:val="20"/>
              </w:rPr>
              <w:t>Priorité</w:t>
            </w:r>
          </w:p>
        </w:tc>
        <w:tc>
          <w:tcPr>
            <w:tcW w:type="dxa" w:w="3249"/>
            <w:shd w:val="clear" w:color="auto" w:fill="EAF0F3"/>
          </w:tcPr>
          <w:p>
            <w:pPr>
              <w:spacing w:after="40"/>
            </w:pPr>
            <w:r/>
            <w:r>
              <w:rPr>
                <w:b/>
                <w:i w:val="0"/>
                <w:sz w:val="20"/>
              </w:rPr>
              <w:t>Catégories</w:t>
            </w:r>
          </w:p>
        </w:tc>
        <w:tc>
          <w:tcPr>
            <w:tcW w:type="dxa" w:w="3249"/>
            <w:shd w:val="clear" w:color="auto" w:fill="EAF0F3"/>
          </w:tcPr>
          <w:p>
            <w:pPr>
              <w:spacing w:after="40"/>
            </w:pPr>
            <w:r/>
            <w:r>
              <w:rPr>
                <w:b/>
                <w:i w:val="0"/>
                <w:sz w:val="20"/>
              </w:rPr>
              <w:t>Ce qu'on y cherche</w:t>
            </w:r>
          </w:p>
        </w:tc>
      </w:tr>
      <w:tr>
        <w:tc>
          <w:tcPr>
            <w:tcW w:type="dxa" w:w="3249"/>
          </w:tcPr>
          <w:p>
            <w:pPr>
              <w:spacing w:after="40"/>
            </w:pPr>
            <w:r/>
            <w:r>
              <w:rPr>
                <w:b w:val="0"/>
                <w:i w:val="0"/>
                <w:sz w:val="20"/>
              </w:rPr>
              <w:t>1. Cette semaine</w:t>
            </w:r>
          </w:p>
        </w:tc>
        <w:tc>
          <w:tcPr>
            <w:tcW w:type="dxa" w:w="3249"/>
          </w:tcPr>
          <w:p>
            <w:pPr>
              <w:spacing w:after="40"/>
            </w:pPr>
            <w:r/>
            <w:r>
              <w:rPr>
                <w:b w:val="0"/>
                <w:i w:val="0"/>
                <w:sz w:val="20"/>
              </w:rPr>
              <w:t>médias, ville d'accueil</w:t>
            </w:r>
          </w:p>
        </w:tc>
        <w:tc>
          <w:tcPr>
            <w:tcW w:type="dxa" w:w="3249"/>
          </w:tcPr>
          <w:p>
            <w:pPr>
              <w:spacing w:after="40"/>
            </w:pPr>
            <w:r/>
            <w:r>
              <w:rPr>
                <w:b w:val="0"/>
                <w:i w:val="0"/>
                <w:sz w:val="20"/>
              </w:rPr>
              <w:t>de la crédibilité, gratuitement</w:t>
            </w:r>
          </w:p>
        </w:tc>
      </w:tr>
      <w:tr>
        <w:tc>
          <w:tcPr>
            <w:tcW w:type="dxa" w:w="3249"/>
          </w:tcPr>
          <w:p>
            <w:pPr>
              <w:spacing w:after="40"/>
            </w:pPr>
            <w:r/>
            <w:r>
              <w:rPr>
                <w:b w:val="0"/>
                <w:i w:val="0"/>
                <w:sz w:val="20"/>
              </w:rPr>
              <w:t>2. Semaine suivante</w:t>
            </w:r>
          </w:p>
        </w:tc>
        <w:tc>
          <w:tcPr>
            <w:tcW w:type="dxa" w:w="3249"/>
          </w:tcPr>
          <w:p>
            <w:pPr>
              <w:spacing w:after="40"/>
            </w:pPr>
            <w:r/>
            <w:r>
              <w:rPr>
                <w:b w:val="0"/>
                <w:i w:val="0"/>
                <w:sz w:val="20"/>
              </w:rPr>
              <w:t>transfert d'argent, téléphonie</w:t>
            </w:r>
          </w:p>
        </w:tc>
        <w:tc>
          <w:tcPr>
            <w:tcW w:type="dxa" w:w="3249"/>
          </w:tcPr>
          <w:p>
            <w:pPr>
              <w:spacing w:after="40"/>
            </w:pPr>
            <w:r/>
            <w:r>
              <w:rPr>
                <w:b w:val="0"/>
                <w:i w:val="0"/>
                <w:sz w:val="20"/>
              </w:rPr>
              <w:t>le palier Officiel et son exclusivité</w:t>
            </w:r>
          </w:p>
        </w:tc>
      </w:tr>
      <w:tr>
        <w:tc>
          <w:tcPr>
            <w:tcW w:type="dxa" w:w="3249"/>
          </w:tcPr>
          <w:p>
            <w:pPr>
              <w:spacing w:after="40"/>
            </w:pPr>
            <w:r/>
            <w:r>
              <w:rPr>
                <w:b w:val="0"/>
                <w:i w:val="0"/>
                <w:sz w:val="20"/>
              </w:rPr>
              <w:t>3. En parallèle, en continu</w:t>
            </w:r>
          </w:p>
        </w:tc>
        <w:tc>
          <w:tcPr>
            <w:tcW w:type="dxa" w:w="3249"/>
          </w:tcPr>
          <w:p>
            <w:pPr>
              <w:spacing w:after="40"/>
            </w:pPr>
            <w:r/>
            <w:r>
              <w:rPr>
                <w:b w:val="0"/>
                <w:i w:val="0"/>
                <w:sz w:val="20"/>
              </w:rPr>
              <w:t>commerces et PME de la communauté</w:t>
            </w:r>
          </w:p>
        </w:tc>
        <w:tc>
          <w:tcPr>
            <w:tcW w:type="dxa" w:w="3249"/>
          </w:tcPr>
          <w:p>
            <w:pPr>
              <w:spacing w:after="40"/>
            </w:pPr>
            <w:r/>
            <w:r>
              <w:rPr>
                <w:b w:val="0"/>
                <w:i w:val="0"/>
                <w:sz w:val="20"/>
              </w:rPr>
              <w:t>le volume, par WhatsApp et recommandation</w:t>
            </w:r>
          </w:p>
        </w:tc>
      </w:tr>
      <w:tr>
        <w:tc>
          <w:tcPr>
            <w:tcW w:type="dxa" w:w="3249"/>
          </w:tcPr>
          <w:p>
            <w:pPr>
              <w:spacing w:after="40"/>
            </w:pPr>
            <w:r/>
            <w:r>
              <w:rPr>
                <w:b w:val="0"/>
                <w:i w:val="0"/>
                <w:sz w:val="20"/>
              </w:rPr>
              <w:t>4. Dès la liste des comptes réservés obtenue</w:t>
            </w:r>
          </w:p>
        </w:tc>
        <w:tc>
          <w:tcPr>
            <w:tcW w:type="dxa" w:w="3249"/>
          </w:tcPr>
          <w:p>
            <w:pPr>
              <w:spacing w:after="40"/>
            </w:pPr>
            <w:r/>
            <w:r>
              <w:rPr>
                <w:b w:val="0"/>
                <w:i w:val="0"/>
                <w:sz w:val="20"/>
              </w:rPr>
              <w:t>assurance, aérien, immobilier, agroalimentaire</w:t>
            </w:r>
          </w:p>
        </w:tc>
        <w:tc>
          <w:tcPr>
            <w:tcW w:type="dxa" w:w="3249"/>
          </w:tcPr>
          <w:p>
            <w:pPr>
              <w:spacing w:after="40"/>
            </w:pPr>
            <w:r/>
            <w:r>
              <w:rPr>
                <w:b w:val="0"/>
                <w:i w:val="0"/>
                <w:sz w:val="20"/>
              </w:rPr>
              <w:t>les paliers Prestige et Associé</w:t>
            </w:r>
          </w:p>
        </w:tc>
      </w:tr>
      <w:tr>
        <w:tc>
          <w:tcPr>
            <w:tcW w:type="dxa" w:w="3249"/>
          </w:tcPr>
          <w:p>
            <w:pPr>
              <w:spacing w:after="40"/>
            </w:pPr>
            <w:r/>
            <w:r>
              <w:rPr>
                <w:b w:val="0"/>
                <w:i w:val="0"/>
                <w:sz w:val="20"/>
              </w:rPr>
              <w:t>5. Après l'événement</w:t>
            </w:r>
          </w:p>
        </w:tc>
        <w:tc>
          <w:tcPr>
            <w:tcW w:type="dxa" w:w="3249"/>
          </w:tcPr>
          <w:p>
            <w:pPr>
              <w:spacing w:after="40"/>
            </w:pPr>
            <w:r/>
            <w:r>
              <w:rPr>
                <w:b w:val="0"/>
                <w:i w:val="0"/>
                <w:sz w:val="20"/>
              </w:rPr>
              <w:t>institutions</w:t>
            </w:r>
          </w:p>
        </w:tc>
        <w:tc>
          <w:tcPr>
            <w:tcW w:type="dxa" w:w="3249"/>
          </w:tcPr>
          <w:p>
            <w:pPr>
              <w:spacing w:after="40"/>
            </w:pPr>
            <w:r/>
            <w:r>
              <w:rPr>
                <w:b w:val="0"/>
                <w:i w:val="0"/>
                <w:sz w:val="20"/>
              </w:rPr>
              <w:t>l'édition 2027</w:t>
            </w:r>
          </w:p>
        </w:tc>
      </w:tr>
    </w:tbl>
    <w:p>
      <w:pPr>
        <w:pStyle w:val="Heading1"/>
      </w:pPr>
      <w:r>
        <w:rPr>
          <w:b/>
          <w:i w:val="0"/>
        </w:rPr>
        <w:t>Ce qu'il faut pour que cette liste devienne un fichier de prospection</w:t>
      </w:r>
    </w:p>
    <w:p>
      <w:r>
        <w:rPr>
          <w:b w:val="0"/>
          <w:i w:val="0"/>
        </w:rPr>
        <w:t xml:space="preserve">Cette note donne des catégories, un angle et un ordre. Elle ne donne pas de noms nominatifs de décideurs, et elle ne le fera pas honnêtement : ces noms se trouvent en une heure sur les sites et les réseaux professionnels, et se vérifient par un appel au standard. La règle vaut d'être écrite : </w:t>
      </w:r>
      <w:r>
        <w:rPr>
          <w:b/>
          <w:i w:val="0"/>
        </w:rPr>
        <w:t>une cible sans nom de décideur n'est pas une cible, c'est une intention.</w:t>
      </w:r>
      <w:r>
        <w:rPr>
          <w:b w:val="0"/>
          <w:i w:val="0"/>
        </w:rPr>
        <w:t xml:space="preserve"> Un courrier adressé à un service devient une cible le jour où quelqu'un décroche son téléphone pour demander qui, chez eux, décide des partenariats.</w:t>
      </w:r>
    </w:p>
    <w:p>
      <w:r>
        <w:rPr>
          <w:b w:val="0"/>
          <w:i w:val="0"/>
        </w:rPr>
        <w:t>Le suivi se tient dans le carnet de contacts et de relances de l'espace de pilotage, qui existe déjà et qui trace l'auteur de chaque envoi. Pas dans un tableur parallèle.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4837C"/>
        <w:sz w:val="17"/>
      </w:rPr>
      <w:t>Document de travail, version du 19 aout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A1A18"/>
      <w:sz w:val="22"/>
      <w:lang w:val="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ascii="Calibri" w:hAnsi="Calibri"/>
      <w:b/>
      <w:bCs/>
      <w:i w:val="0"/>
      <w:color w:val="2F4858"/>
      <w:sz w:val="30"/>
      <w:szCs w:val="28"/>
      <w:lang w:val="fr-FR"/>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i w:val="0"/>
      <w:color w:val="2F4858"/>
      <w:sz w:val="25"/>
      <w:szCs w:val="26"/>
      <w:lang w:val="fr-FR"/>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i w:val="0"/>
      <w:color w:val="1A1A18"/>
      <w:sz w:val="23"/>
      <w:lang w:val="fr-F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i w:val="0"/>
      <w:color w:val="2F4858"/>
      <w:spacing w:val="5"/>
      <w:kern w:val="28"/>
      <w:sz w:val="44"/>
      <w:szCs w:val="52"/>
      <w:lang w:val="fr-F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Cibles de sponsoring, France et diaspora</dc:title>
  <dc:subject/>
  <dc:creator>Thim Production</dc:creator>
  <cp:keywords/>
  <dc:description>Document de travail modifiable. Festival des Grillades de Paris 2026.</dc:description>
  <cp:lastModifiedBy>Thim Production</cp:lastModifiedBy>
  <cp:revision>1</cp:revision>
  <dcterms:created xsi:type="dcterms:W3CDTF">2013-12-23T23:15:00Z</dcterms:created>
  <dcterms:modified xsi:type="dcterms:W3CDTF">2013-12-23T23:15:00Z</dcterms:modified>
  <cp:category/>
</cp:coreProperties>
</file>