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jc w:val="center"/>
      </w:pPr>
      <w:r>
        <w:rPr>
          <w:rFonts w:ascii="Segoe UI" w:cs="Segoe UI" w:eastAsia="Segoe UI" w:hAnsi="Segoe UI"/>
          <w:b/>
          <w:bCs/>
          <w:color w:val="26435C"/>
          <w:sz w:val="48"/>
          <w:szCs w:val="48"/>
        </w:rPr>
        <w:t xml:space="preserve">FetchTrek Download Manager</w:t>
      </w:r>
    </w:p>
    <w:p>
      <w:pPr>
        <w:spacing w:after="200" w:before="0"/>
        <w:jc w:val="center"/>
      </w:pPr>
      <w:r>
        <w:rPr>
          <w:rFonts w:ascii="Segoe UI" w:cs="Segoe UI" w:eastAsia="Segoe UI" w:hAnsi="Segoe UI"/>
          <w:i/>
          <w:iCs/>
          <w:color w:val="2A6740"/>
          <w:sz w:val="24"/>
          <w:szCs w:val="24"/>
        </w:rPr>
        <w:t xml:space="preserve">Production-Grade Product Requirements Document (PRD) &amp; Systems Engineering Baseline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60"/>
          <w:bottom w:type="dxa" w:w="100"/>
          <w:right w:type="dxa" w:w="160"/>
        </w:tblCellMar>
      </w:tblPr>
      <w:tblGrid>
        <w:gridCol w:w="2400"/>
        <w:gridCol w:w="6960"/>
      </w:tblGrid>
      <w:tr>
        <w:trPr>
          <w:cantSplit/>
          <w:tblHeader/>
        </w:trPr>
        <w:tc>
          <w:tcPr>
            <w:tcW w:type="dxa" w:w="2400"/>
            <w:tcBorders>
              <w:top w:val="single" w:color="CFDCD5" w:sz="4"/>
              <w:left w:val="single" w:color="CFDCD5" w:sz="4"/>
              <w:bottom w:val="single" w:color="CFDCD5" w:sz="4"/>
              <w:right w:val="single" w:color="CFDCD5" w:sz="4"/>
            </w:tcBorders>
            <w:shd w:fill="26435C" w:val="clear"/>
            <w:vAlign w:val="center"/>
          </w:tcPr>
          <w:p>
            <w:pPr>
              <w:spacing w:after="80" w:before="80"/>
              <w:jc w:val="left"/>
            </w:pPr>
            <w:r>
              <w:rPr>
                <w:rFonts w:ascii="Segoe UI" w:cs="Segoe UI" w:eastAsia="Segoe UI" w:hAnsi="Segoe UI"/>
                <w:b/>
                <w:bCs/>
                <w:color w:val="FFFFFF"/>
                <w:sz w:val="18"/>
                <w:szCs w:val="18"/>
              </w:rPr>
              <w:t xml:space="preserve">METADATA ATTRIBUTE</w:t>
            </w:r>
          </w:p>
        </w:tc>
        <w:tc>
          <w:tcPr>
            <w:tcW w:type="dxa" w:w="6960"/>
            <w:tcBorders>
              <w:top w:val="single" w:color="CFDCD5" w:sz="4"/>
              <w:left w:val="single" w:color="CFDCD5" w:sz="4"/>
              <w:bottom w:val="single" w:color="CFDCD5" w:sz="4"/>
              <w:right w:val="single" w:color="CFDCD5" w:sz="4"/>
            </w:tcBorders>
            <w:shd w:fill="26435C" w:val="clear"/>
            <w:vAlign w:val="center"/>
          </w:tcPr>
          <w:p>
            <w:pPr>
              <w:spacing w:after="80" w:before="80"/>
              <w:jc w:val="left"/>
            </w:pPr>
            <w:r>
              <w:rPr>
                <w:rFonts w:ascii="Segoe UI" w:cs="Segoe UI" w:eastAsia="Segoe UI" w:hAnsi="Segoe UI"/>
                <w:b/>
                <w:bCs/>
                <w:color w:val="FFFFFF"/>
                <w:sz w:val="18"/>
                <w:szCs w:val="18"/>
              </w:rPr>
              <w:t xml:space="preserve">SPECIFICATION DETAILS</w:t>
            </w:r>
          </w:p>
        </w:tc>
      </w:tr>
      <w:tr>
        <w:trPr>
          <w:cantSplit/>
        </w:trPr>
        <w:tc>
          <w:tcPr>
            <w:tcW w:type="dxa" w:w="24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Product Initiative</w:t>
            </w:r>
          </w:p>
        </w:tc>
        <w:tc>
          <w:tcPr>
            <w:tcW w:type="dxa" w:w="696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FetchTrek Desktop Core &amp; Cross-Platform Acceleration Engine</w:t>
            </w:r>
          </w:p>
        </w:tc>
      </w:tr>
      <w:tr>
        <w:trPr>
          <w:cantSplit/>
        </w:trPr>
        <w:tc>
          <w:tcPr>
            <w:tcW w:type="dxa" w:w="24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Document Classification</w:t>
            </w:r>
          </w:p>
        </w:tc>
        <w:tc>
          <w:tcPr>
            <w:tcW w:type="dxa" w:w="696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Production-Grade Systems Engineering Specification (PRD)</w:t>
            </w:r>
          </w:p>
        </w:tc>
      </w:tr>
      <w:tr>
        <w:trPr>
          <w:cantSplit/>
        </w:trPr>
        <w:tc>
          <w:tcPr>
            <w:tcW w:type="dxa" w:w="24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Document Version / Status</w:t>
            </w:r>
          </w:p>
        </w:tc>
        <w:tc>
          <w:tcPr>
            <w:tcW w:type="dxa" w:w="696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Version 1.0 (Final Approved Specification) / Active Engineering Baseline</w:t>
            </w:r>
          </w:p>
        </w:tc>
      </w:tr>
      <w:tr>
        <w:trPr>
          <w:cantSplit/>
        </w:trPr>
        <w:tc>
          <w:tcPr>
            <w:tcW w:type="dxa" w:w="24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Principal Author</w:t>
            </w:r>
          </w:p>
        </w:tc>
        <w:tc>
          <w:tcPr>
            <w:tcW w:type="dxa" w:w="696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Principal Systems Product Manager (Core Architecture &amp; Strategy)</w:t>
            </w:r>
          </w:p>
        </w:tc>
      </w:tr>
      <w:tr>
        <w:trPr>
          <w:cantSplit/>
        </w:trPr>
        <w:tc>
          <w:tcPr>
            <w:tcW w:type="dxa" w:w="24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Release Date / Horizon</w:t>
            </w:r>
          </w:p>
        </w:tc>
        <w:tc>
          <w:tcPr>
            <w:tcW w:type="dxa" w:w="696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October 2026 / General Availability Target: Q1 2027</w:t>
            </w:r>
          </w:p>
        </w:tc>
      </w:tr>
      <w:tr>
        <w:trPr>
          <w:cantSplit/>
        </w:trPr>
        <w:tc>
          <w:tcPr>
            <w:tcW w:type="dxa" w:w="24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Target Platforms</w:t>
            </w:r>
          </w:p>
        </w:tc>
        <w:tc>
          <w:tcPr>
            <w:tcW w:type="dxa" w:w="696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Windows 10/11 (x86_64, ARM64), macOS 12+ (Universal 2), Linux (Kernel 5.10+ glibc/musl)</w:t>
            </w:r>
          </w:p>
        </w:tc>
      </w:tr>
      <w:tr>
        <w:trPr>
          <w:cantSplit/>
        </w:trPr>
        <w:tc>
          <w:tcPr>
            <w:tcW w:type="dxa" w:w="24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Licensing &amp; Distribution</w:t>
            </w:r>
          </w:p>
        </w:tc>
        <w:tc>
          <w:tcPr>
            <w:tcW w:type="dxa" w:w="696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100% Free and Open-Source Software (MIT / Apache 2.0 Dual License); Zero Adware</w:t>
            </w:r>
          </w:p>
        </w:tc>
      </w:tr>
    </w:tbl>
    <w:p>
      <w:pPr>
        <w:spacing w:after="180" w:before="0" w:line="276"/>
        <w:jc w:val="left"/>
      </w:pPr>
      <w:r>
        <w:rPr>
          <w:rFonts w:ascii="Segoe UI" w:cs="Segoe UI" w:eastAsia="Segoe UI" w:hAnsi="Segoe UI"/>
          <w:b w:val="false"/>
          <w:bCs w:val="false"/>
          <w:i w:val="false"/>
          <w:iCs w:val="false"/>
          <w:color w:val="242D35"/>
          <w:sz w:val="21"/>
          <w:szCs w:val="21"/>
        </w:rPr>
        <w:t xml:space="preserve"/>
      </w:r>
    </w:p>
    <w:p>
      <w:pPr>
        <w:pStyle w:val="Heading1"/>
        <w:spacing w:after="140" w:before="320"/>
      </w:pPr>
      <w:r>
        <w:rPr>
          <w:rFonts w:ascii="Segoe UI" w:cs="Segoe UI" w:eastAsia="Segoe UI" w:hAnsi="Segoe UI"/>
          <w:b/>
          <w:bCs/>
          <w:color w:val="26435C"/>
          <w:sz w:val="30"/>
          <w:szCs w:val="30"/>
        </w:rPr>
        <w:t xml:space="preserve">1. Executive Summary &amp; Strategic Intent</w:t>
      </w:r>
    </w:p>
    <w:p>
      <w:pPr>
        <w:spacing w:after="120" w:before="0" w:line="276"/>
        <w:jc w:val="left"/>
      </w:pPr>
      <w:r>
        <w:rPr>
          <w:rFonts w:ascii="Segoe UI" w:cs="Segoe UI" w:eastAsia="Segoe UI" w:hAnsi="Segoe UI"/>
          <w:b w:val="false"/>
          <w:bCs w:val="false"/>
          <w:i w:val="false"/>
          <w:iCs w:val="false"/>
          <w:color w:val="242D35"/>
          <w:sz w:val="21"/>
          <w:szCs w:val="21"/>
        </w:rPr>
        <w:t xml:space="preserve">The consumer desktop download accelerator market has stagnated in architectural compromise for more than twenty years. Users requiring multi-segment HTTP acceleration and streaming media capture have been forced into an artificial dichotomy: either pay for proprietary, Windows-only shareware laden with aggressive anti-piracy popups (Internet Download Manager), or accept closed freeware and adware-bundled tools plagued by opaque telemetry, heavy runtimes, and local privilege escalation vulnerabilities (Free Download Manager, JDownloader 2). Native browser engines (Chrome, Edge, Firefox) remain single-stream utilities with fragile resumption logic, failing to saturate modern residential gigabit fiber.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40"/>
          <w:left w:type="dxa" w:w="240"/>
          <w:bottom w:type="dxa" w:w="140"/>
          <w:right w:type="dxa" w:w="200"/>
        </w:tblCellMar>
      </w:tblPr>
      <w:tblGrid>
        <w:gridCol w:w="9360"/>
      </w:tblGrid>
      <w:tr>
        <w:tc>
          <w:tcPr>
            <w:tcW w:type="dxa" w:w="9360"/>
            <w:tcBorders>
              <w:top w:val="none"/>
              <w:left w:val="single" w:color="2A6740" w:sz="24"/>
              <w:bottom w:val="none"/>
              <w:right w:val="none"/>
            </w:tcBorders>
            <w:shd w:fill="F2F7F5" w:val="clear"/>
          </w:tcPr>
          <w:p>
            <w:pPr>
              <w:spacing w:after="60" w:line="260"/>
            </w:pPr>
            <w:r>
              <w:rPr>
                <w:rFonts w:ascii="Segoe UI" w:cs="Segoe UI" w:eastAsia="Segoe UI" w:hAnsi="Segoe UI"/>
                <w:b/>
                <w:bCs/>
                <w:color w:val="2A6740"/>
                <w:sz w:val="21"/>
                <w:szCs w:val="21"/>
              </w:rPr>
              <w:t xml:space="preserve">STRATEGIC MANDATE: TECHNICAL EXCELLENCE MEETS RADICAL USER TRUST</w:t>
            </w:r>
          </w:p>
          <w:p>
            <w:pPr>
              <w:spacing w:after="0" w:line="260"/>
            </w:pPr>
            <w:r>
              <w:rPr>
                <w:rFonts w:ascii="Segoe UI" w:cs="Segoe UI" w:eastAsia="Segoe UI" w:hAnsi="Segoe UI"/>
                <w:i/>
                <w:iCs/>
                <w:color w:val="242D35"/>
                <w:sz w:val="19"/>
                <w:szCs w:val="19"/>
              </w:rPr>
              <w:t xml:space="preserve">FetchTrek Download Manager disrupts this landscape through a 100% Free and Open-Source Software (FOSS) initiative. Built in a compiled systems language (Rust/C++20) with a hardware-accelerated presentation layer, FetchTrek delivers line-rate multi-segment acceleration while strictly capping idle memory usage under 35 MB. Crucially, FetchTrek eliminates the primary architectural defect of legacy accelerators—the post-download disk freeze—by deploying direct-to-disk sparse file pre-allocation with zero-copy asynchronous I/O.</w:t>
            </w:r>
          </w:p>
        </w:tc>
      </w:tr>
    </w:tbl>
    <w:p>
      <w:pPr>
        <w:spacing w:after="120" w:before="0" w:line="276"/>
        <w:jc w:val="left"/>
      </w:pPr>
      <w:r>
        <w:rPr>
          <w:rFonts w:ascii="Segoe UI" w:cs="Segoe UI" w:eastAsia="Segoe UI" w:hAnsi="Segoe UI"/>
          <w:b w:val="false"/>
          <w:bCs w:val="false"/>
          <w:i w:val="false"/>
          <w:iCs w:val="false"/>
          <w:color w:val="242D35"/>
          <w:sz w:val="21"/>
          <w:szCs w:val="21"/>
        </w:rPr>
        <w:t xml:space="preserve">FetchTrek fulfills dual organizational purposes:</w:t>
      </w:r>
    </w:p>
    <w:p>
      <w:pPr>
        <w:pStyle w:val="ListParagraph"/>
        <w:numPr>
          <w:ilvl w:val="0"/>
          <w:numId w:val="2"/>
        </w:numPr>
        <w:spacing w:after="80" w:before="40" w:line="260"/>
      </w:pPr>
      <w:r>
        <w:rPr>
          <w:rFonts w:ascii="Segoe UI" w:cs="Segoe UI" w:eastAsia="Segoe UI" w:hAnsi="Segoe UI"/>
          <w:b/>
          <w:bCs/>
          <w:color w:val="242D35"/>
          <w:sz w:val="21"/>
          <w:szCs w:val="21"/>
        </w:rPr>
        <w:t xml:space="preserve">Flagship Systems Portfolio: </w:t>
      </w:r>
      <w:r>
        <w:rPr>
          <w:rFonts w:ascii="Segoe UI" w:cs="Segoe UI" w:eastAsia="Segoe UI" w:hAnsi="Segoe UI"/>
          <w:color w:val="242D35"/>
          <w:sz w:val="21"/>
          <w:szCs w:val="21"/>
        </w:rPr>
        <w:t xml:space="preserve">Demonstrate mastery of kernel storage primitives, non-blocking asynchronous I/O, lock-free concurrency, low-latency IPC, and sandboxed browser integration.</w:t>
      </w:r>
    </w:p>
    <w:p>
      <w:pPr>
        <w:pStyle w:val="ListParagraph"/>
        <w:numPr>
          <w:ilvl w:val="0"/>
          <w:numId w:val="2"/>
        </w:numPr>
        <w:spacing w:after="80" w:before="40" w:line="260"/>
      </w:pPr>
      <w:r>
        <w:rPr>
          <w:rFonts w:ascii="Segoe UI" w:cs="Segoe UI" w:eastAsia="Segoe UI" w:hAnsi="Segoe UI"/>
          <w:b/>
          <w:bCs/>
          <w:color w:val="242D35"/>
          <w:sz w:val="21"/>
          <w:szCs w:val="21"/>
        </w:rPr>
        <w:t xml:space="preserve">Open-Source Daily Driver: </w:t>
      </w:r>
      <w:r>
        <w:rPr>
          <w:rFonts w:ascii="Segoe UI" w:cs="Segoe UI" w:eastAsia="Segoe UI" w:hAnsi="Segoe UI"/>
          <w:color w:val="242D35"/>
          <w:sz w:val="21"/>
          <w:szCs w:val="21"/>
        </w:rPr>
        <w:t xml:space="preserve">Provide the global community with a fast, verifiable, lightweight daily driver that outperforms commercial incumbents across Windows, macOS, and Linux without tracking or paywalls.</w:t>
      </w:r>
    </w:p>
    <w:p>
      <w:pPr>
        <w:pStyle w:val="Heading2"/>
        <w:spacing w:after="100" w:before="240"/>
      </w:pPr>
      <w:r>
        <w:rPr>
          <w:rFonts w:ascii="Segoe UI" w:cs="Segoe UI" w:eastAsia="Segoe UI" w:hAnsi="Segoe UI"/>
          <w:b/>
          <w:bCs/>
          <w:color w:val="2A6740"/>
          <w:sz w:val="24"/>
          <w:szCs w:val="24"/>
        </w:rPr>
        <w:t xml:space="preserve">1.1. Competitive Performance Matrix</w:t>
      </w:r>
    </w:p>
    <w:p>
      <w:pPr>
        <w:spacing w:after="120" w:before="0" w:line="276"/>
        <w:jc w:val="left"/>
      </w:pPr>
      <w:r>
        <w:rPr>
          <w:rFonts w:ascii="Segoe UI" w:cs="Segoe UI" w:eastAsia="Segoe UI" w:hAnsi="Segoe UI"/>
          <w:b w:val="false"/>
          <w:bCs w:val="false"/>
          <w:i w:val="false"/>
          <w:iCs w:val="false"/>
          <w:color w:val="242D35"/>
          <w:sz w:val="21"/>
          <w:szCs w:val="21"/>
        </w:rPr>
        <w:t xml:space="preserve">Target performance metrics established during architecture validation for a 25 GB file transfer over 1 Gbps fiber: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60"/>
          <w:bottom w:type="dxa" w:w="100"/>
          <w:right w:type="dxa" w:w="160"/>
        </w:tblCellMar>
      </w:tblPr>
      <w:tblGrid>
        <w:gridCol w:w="2160"/>
        <w:gridCol w:w="1800"/>
        <w:gridCol w:w="1800"/>
        <w:gridCol w:w="1800"/>
        <w:gridCol w:w="1800"/>
      </w:tblGrid>
      <w:tr>
        <w:trPr>
          <w:cantSplit/>
          <w:tblHeader/>
        </w:trPr>
        <w:tc>
          <w:tcPr>
            <w:tcW w:type="dxa" w:w="2160"/>
            <w:tcBorders>
              <w:top w:val="single" w:color="CFDCD5" w:sz="4"/>
              <w:left w:val="single" w:color="CFDCD5" w:sz="4"/>
              <w:bottom w:val="single" w:color="CFDCD5" w:sz="4"/>
              <w:right w:val="single" w:color="CFDCD5" w:sz="4"/>
            </w:tcBorders>
            <w:shd w:fill="26435C" w:val="clear"/>
            <w:vAlign w:val="center"/>
          </w:tcPr>
          <w:p>
            <w:pPr>
              <w:spacing w:after="80" w:before="80"/>
              <w:jc w:val="left"/>
            </w:pPr>
            <w:r>
              <w:rPr>
                <w:rFonts w:ascii="Segoe UI" w:cs="Segoe UI" w:eastAsia="Segoe UI" w:hAnsi="Segoe UI"/>
                <w:b/>
                <w:bCs/>
                <w:color w:val="FFFFFF"/>
                <w:sz w:val="18"/>
                <w:szCs w:val="18"/>
              </w:rPr>
              <w:t xml:space="preserve">PERFORMANCE VECTOR</w:t>
            </w:r>
          </w:p>
        </w:tc>
        <w:tc>
          <w:tcPr>
            <w:tcW w:type="dxa" w:w="1800"/>
            <w:tcBorders>
              <w:top w:val="single" w:color="CFDCD5" w:sz="4"/>
              <w:left w:val="single" w:color="CFDCD5" w:sz="4"/>
              <w:bottom w:val="single" w:color="CFDCD5" w:sz="4"/>
              <w:right w:val="single" w:color="CFDCD5" w:sz="4"/>
            </w:tcBorders>
            <w:shd w:fill="26435C" w:val="clear"/>
            <w:vAlign w:val="center"/>
          </w:tcPr>
          <w:p>
            <w:pPr>
              <w:spacing w:after="80" w:before="80"/>
              <w:jc w:val="left"/>
            </w:pPr>
            <w:r>
              <w:rPr>
                <w:rFonts w:ascii="Segoe UI" w:cs="Segoe UI" w:eastAsia="Segoe UI" w:hAnsi="Segoe UI"/>
                <w:b/>
                <w:bCs/>
                <w:color w:val="FFFFFF"/>
                <w:sz w:val="18"/>
                <w:szCs w:val="18"/>
              </w:rPr>
              <w:t xml:space="preserve">IDM (v6.42)</w:t>
            </w:r>
          </w:p>
        </w:tc>
        <w:tc>
          <w:tcPr>
            <w:tcW w:type="dxa" w:w="1800"/>
            <w:tcBorders>
              <w:top w:val="single" w:color="CFDCD5" w:sz="4"/>
              <w:left w:val="single" w:color="CFDCD5" w:sz="4"/>
              <w:bottom w:val="single" w:color="CFDCD5" w:sz="4"/>
              <w:right w:val="single" w:color="CFDCD5" w:sz="4"/>
            </w:tcBorders>
            <w:shd w:fill="26435C" w:val="clear"/>
            <w:vAlign w:val="center"/>
          </w:tcPr>
          <w:p>
            <w:pPr>
              <w:spacing w:after="80" w:before="80"/>
              <w:jc w:val="left"/>
            </w:pPr>
            <w:r>
              <w:rPr>
                <w:rFonts w:ascii="Segoe UI" w:cs="Segoe UI" w:eastAsia="Segoe UI" w:hAnsi="Segoe UI"/>
                <w:b/>
                <w:bCs/>
                <w:color w:val="FFFFFF"/>
                <w:sz w:val="18"/>
                <w:szCs w:val="18"/>
              </w:rPr>
              <w:t xml:space="preserve">FDM (v6.25)</w:t>
            </w:r>
          </w:p>
        </w:tc>
        <w:tc>
          <w:tcPr>
            <w:tcW w:type="dxa" w:w="1800"/>
            <w:tcBorders>
              <w:top w:val="single" w:color="CFDCD5" w:sz="4"/>
              <w:left w:val="single" w:color="CFDCD5" w:sz="4"/>
              <w:bottom w:val="single" w:color="CFDCD5" w:sz="4"/>
              <w:right w:val="single" w:color="CFDCD5" w:sz="4"/>
            </w:tcBorders>
            <w:shd w:fill="26435C" w:val="clear"/>
            <w:vAlign w:val="center"/>
          </w:tcPr>
          <w:p>
            <w:pPr>
              <w:spacing w:after="80" w:before="80"/>
              <w:jc w:val="left"/>
            </w:pPr>
            <w:r>
              <w:rPr>
                <w:rFonts w:ascii="Segoe UI" w:cs="Segoe UI" w:eastAsia="Segoe UI" w:hAnsi="Segoe UI"/>
                <w:b/>
                <w:bCs/>
                <w:color w:val="FFFFFF"/>
                <w:sz w:val="18"/>
                <w:szCs w:val="18"/>
              </w:rPr>
              <w:t xml:space="preserve">MOTRIX (ELECTRON)</w:t>
            </w:r>
          </w:p>
        </w:tc>
        <w:tc>
          <w:tcPr>
            <w:tcW w:type="dxa" w:w="1800"/>
            <w:tcBorders>
              <w:top w:val="single" w:color="CFDCD5" w:sz="4"/>
              <w:left w:val="single" w:color="CFDCD5" w:sz="4"/>
              <w:bottom w:val="single" w:color="CFDCD5" w:sz="4"/>
              <w:right w:val="single" w:color="CFDCD5" w:sz="4"/>
            </w:tcBorders>
            <w:shd w:fill="26435C" w:val="clear"/>
            <w:vAlign w:val="center"/>
          </w:tcPr>
          <w:p>
            <w:pPr>
              <w:spacing w:after="80" w:before="80"/>
              <w:jc w:val="left"/>
            </w:pPr>
            <w:r>
              <w:rPr>
                <w:rFonts w:ascii="Segoe UI" w:cs="Segoe UI" w:eastAsia="Segoe UI" w:hAnsi="Segoe UI"/>
                <w:b/>
                <w:bCs/>
                <w:color w:val="FFFFFF"/>
                <w:sz w:val="18"/>
                <w:szCs w:val="18"/>
              </w:rPr>
              <w:t xml:space="preserve">FETCHTREK (TARGET)</w:t>
            </w:r>
          </w:p>
        </w:tc>
      </w:tr>
      <w:tr>
        <w:trPr>
          <w:cantSplit/>
        </w:trPr>
        <w:tc>
          <w:tcPr>
            <w:tcW w:type="dxa" w:w="216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Network Transfer Duration</w:t>
            </w:r>
          </w:p>
        </w:tc>
        <w:tc>
          <w:tcPr>
            <w:tcW w:type="dxa" w:w="18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3 min 28 sec</w:t>
            </w:r>
          </w:p>
        </w:tc>
        <w:tc>
          <w:tcPr>
            <w:tcW w:type="dxa" w:w="18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3 min 45 sec</w:t>
            </w:r>
          </w:p>
        </w:tc>
        <w:tc>
          <w:tcPr>
            <w:tcW w:type="dxa" w:w="18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3 min 52 sec</w:t>
            </w:r>
          </w:p>
        </w:tc>
        <w:tc>
          <w:tcPr>
            <w:tcW w:type="dxa" w:w="18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3 min 22 sec (Line-Rate)</w:t>
            </w:r>
          </w:p>
        </w:tc>
      </w:tr>
      <w:tr>
        <w:trPr>
          <w:cantSplit/>
        </w:trPr>
        <w:tc>
          <w:tcPr>
            <w:tcW w:type="dxa" w:w="216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Post-Download Merge Freeze</w:t>
            </w:r>
          </w:p>
        </w:tc>
        <w:tc>
          <w:tcPr>
            <w:tcW w:type="dxa" w:w="18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1 min 14 sec (Temp Concatenation)</w:t>
            </w:r>
          </w:p>
        </w:tc>
        <w:tc>
          <w:tcPr>
            <w:tcW w:type="dxa" w:w="18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0.00 sec (Sparse)</w:t>
            </w:r>
          </w:p>
        </w:tc>
        <w:tc>
          <w:tcPr>
            <w:tcW w:type="dxa" w:w="18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0.00 sec (Sparse)</w:t>
            </w:r>
          </w:p>
        </w:tc>
        <w:tc>
          <w:tcPr>
            <w:tcW w:type="dxa" w:w="18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0.00 sec (In-Place Sparse)</w:t>
            </w:r>
          </w:p>
        </w:tc>
      </w:tr>
      <w:tr>
        <w:trPr>
          <w:cantSplit/>
        </w:trPr>
        <w:tc>
          <w:tcPr>
            <w:tcW w:type="dxa" w:w="216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Total Time to Usable File</w:t>
            </w:r>
          </w:p>
        </w:tc>
        <w:tc>
          <w:tcPr>
            <w:tcW w:type="dxa" w:w="18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4 min 42 sec</w:t>
            </w:r>
          </w:p>
        </w:tc>
        <w:tc>
          <w:tcPr>
            <w:tcW w:type="dxa" w:w="18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3 min 45 sec</w:t>
            </w:r>
          </w:p>
        </w:tc>
        <w:tc>
          <w:tcPr>
            <w:tcW w:type="dxa" w:w="18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3 min 52 sec</w:t>
            </w:r>
          </w:p>
        </w:tc>
        <w:tc>
          <w:tcPr>
            <w:tcW w:type="dxa" w:w="18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3 min 22 sec (28% faster)</w:t>
            </w:r>
          </w:p>
        </w:tc>
      </w:tr>
      <w:tr>
        <w:trPr>
          <w:cantSplit/>
        </w:trPr>
        <w:tc>
          <w:tcPr>
            <w:tcW w:type="dxa" w:w="216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Peak Storage Active Time</w:t>
            </w:r>
          </w:p>
        </w:tc>
        <w:tc>
          <w:tcPr>
            <w:tcW w:type="dxa" w:w="18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100% for 74s (Write Spikes)</w:t>
            </w:r>
          </w:p>
        </w:tc>
        <w:tc>
          <w:tcPr>
            <w:tcW w:type="dxa" w:w="18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35% (Continuous)</w:t>
            </w:r>
          </w:p>
        </w:tc>
        <w:tc>
          <w:tcPr>
            <w:tcW w:type="dxa" w:w="18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38% (Continuous)</w:t>
            </w:r>
          </w:p>
        </w:tc>
        <w:tc>
          <w:tcPr>
            <w:tcW w:type="dxa" w:w="18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25% (Zero-Copy Ring)</w:t>
            </w:r>
          </w:p>
        </w:tc>
      </w:tr>
      <w:tr>
        <w:trPr>
          <w:cantSplit/>
        </w:trPr>
        <w:tc>
          <w:tcPr>
            <w:tcW w:type="dxa" w:w="216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Idle / Active Memory</w:t>
            </w:r>
          </w:p>
        </w:tc>
        <w:tc>
          <w:tcPr>
            <w:tcW w:type="dxa" w:w="18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32 MB / 85 MB (GDI)</w:t>
            </w:r>
          </w:p>
        </w:tc>
        <w:tc>
          <w:tcPr>
            <w:tcW w:type="dxa" w:w="18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180 MB / 320 MB (Qt)</w:t>
            </w:r>
          </w:p>
        </w:tc>
        <w:tc>
          <w:tcPr>
            <w:tcW w:type="dxa" w:w="18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260 MB / 480 MB</w:t>
            </w:r>
          </w:p>
        </w:tc>
        <w:tc>
          <w:tcPr>
            <w:tcW w:type="dxa" w:w="18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&lt; 35 MB / 80 MB (Rust)</w:t>
            </w:r>
          </w:p>
        </w:tc>
      </w:tr>
      <w:tr>
        <w:trPr>
          <w:cantSplit/>
        </w:trPr>
        <w:tc>
          <w:tcPr>
            <w:tcW w:type="dxa" w:w="216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Platform Availability</w:t>
            </w:r>
          </w:p>
        </w:tc>
        <w:tc>
          <w:tcPr>
            <w:tcW w:type="dxa" w:w="18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Windows-Only (GDI Lock)</w:t>
            </w:r>
          </w:p>
        </w:tc>
        <w:tc>
          <w:tcPr>
            <w:tcW w:type="dxa" w:w="18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Win, macOS, Linux</w:t>
            </w:r>
          </w:p>
        </w:tc>
        <w:tc>
          <w:tcPr>
            <w:tcW w:type="dxa" w:w="18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Win, macOS, Linux</w:t>
            </w:r>
          </w:p>
        </w:tc>
        <w:tc>
          <w:tcPr>
            <w:tcW w:type="dxa" w:w="18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Win 10/11, macOS, Linux</w:t>
            </w:r>
          </w:p>
        </w:tc>
      </w:tr>
      <w:tr>
        <w:trPr>
          <w:cantSplit/>
        </w:trPr>
        <w:tc>
          <w:tcPr>
            <w:tcW w:type="dxa" w:w="216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Licensing &amp; Telemetry</w:t>
            </w:r>
          </w:p>
        </w:tc>
        <w:tc>
          <w:tcPr>
            <w:tcW w:type="dxa" w:w="18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$24.95 Shareware + Nags</w:t>
            </w:r>
          </w:p>
        </w:tc>
        <w:tc>
          <w:tcPr>
            <w:tcW w:type="dxa" w:w="18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Closed Freeware + Banners</w:t>
            </w:r>
          </w:p>
        </w:tc>
        <w:tc>
          <w:tcPr>
            <w:tcW w:type="dxa" w:w="18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MIT + Heavy Memory</w:t>
            </w:r>
          </w:p>
        </w:tc>
        <w:tc>
          <w:tcPr>
            <w:tcW w:type="dxa" w:w="18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100% FOSS, Zero Telemetry</w:t>
            </w:r>
          </w:p>
        </w:tc>
      </w:tr>
    </w:tbl>
    <w:p>
      <w:pPr>
        <w:spacing w:after="180" w:before="0" w:line="276"/>
        <w:jc w:val="left"/>
      </w:pPr>
      <w:r>
        <w:rPr>
          <w:rFonts w:ascii="Segoe UI" w:cs="Segoe UI" w:eastAsia="Segoe UI" w:hAnsi="Segoe UI"/>
          <w:b w:val="false"/>
          <w:bCs w:val="false"/>
          <w:i w:val="false"/>
          <w:iCs w:val="false"/>
          <w:color w:val="242D35"/>
          <w:sz w:val="21"/>
          <w:szCs w:val="21"/>
        </w:rPr>
        <w:t xml:space="preserve"/>
      </w:r>
    </w:p>
    <w:p>
      <w:pPr>
        <w:pStyle w:val="Heading1"/>
        <w:spacing w:after="140" w:before="320"/>
      </w:pPr>
      <w:r>
        <w:rPr>
          <w:rFonts w:ascii="Segoe UI" w:cs="Segoe UI" w:eastAsia="Segoe UI" w:hAnsi="Segoe UI"/>
          <w:b/>
          <w:bCs/>
          <w:color w:val="26435C"/>
          <w:sz w:val="30"/>
          <w:szCs w:val="30"/>
        </w:rPr>
        <w:t xml:space="preserve">2. Target Personas &amp; Core User Workflows</w:t>
      </w:r>
    </w:p>
    <w:p>
      <w:pPr>
        <w:spacing w:after="120" w:before="0" w:line="276"/>
        <w:jc w:val="left"/>
      </w:pPr>
      <w:r>
        <w:rPr>
          <w:rFonts w:ascii="Segoe UI" w:cs="Segoe UI" w:eastAsia="Segoe UI" w:hAnsi="Segoe UI"/>
          <w:b w:val="false"/>
          <w:bCs w:val="false"/>
          <w:i w:val="false"/>
          <w:iCs w:val="false"/>
          <w:color w:val="242D35"/>
          <w:sz w:val="21"/>
          <w:szCs w:val="21"/>
        </w:rPr>
        <w:t xml:space="preserve">FetchTrek targets three distinct user profiles whose requirements dictate our performance thresholds and operational workflows: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60"/>
          <w:bottom w:type="dxa" w:w="100"/>
          <w:right w:type="dxa" w:w="160"/>
        </w:tblCellMar>
      </w:tblPr>
      <w:tblGrid>
        <w:gridCol w:w="1800"/>
        <w:gridCol w:w="2520"/>
        <w:gridCol w:w="2520"/>
        <w:gridCol w:w="2520"/>
      </w:tblGrid>
      <w:tr>
        <w:trPr>
          <w:cantSplit/>
          <w:tblHeader/>
        </w:trPr>
        <w:tc>
          <w:tcPr>
            <w:tcW w:type="dxa" w:w="1800"/>
            <w:tcBorders>
              <w:top w:val="single" w:color="CFDCD5" w:sz="4"/>
              <w:left w:val="single" w:color="CFDCD5" w:sz="4"/>
              <w:bottom w:val="single" w:color="CFDCD5" w:sz="4"/>
              <w:right w:val="single" w:color="CFDCD5" w:sz="4"/>
            </w:tcBorders>
            <w:shd w:fill="26435C" w:val="clear"/>
            <w:vAlign w:val="center"/>
          </w:tcPr>
          <w:p>
            <w:pPr>
              <w:spacing w:after="80" w:before="80"/>
              <w:jc w:val="left"/>
            </w:pPr>
            <w:r>
              <w:rPr>
                <w:rFonts w:ascii="Segoe UI" w:cs="Segoe UI" w:eastAsia="Segoe UI" w:hAnsi="Segoe UI"/>
                <w:b/>
                <w:bCs/>
                <w:color w:val="FFFFFF"/>
                <w:sz w:val="18"/>
                <w:szCs w:val="18"/>
              </w:rPr>
              <w:t xml:space="preserve">PERSONA</w:t>
            </w:r>
          </w:p>
        </w:tc>
        <w:tc>
          <w:tcPr>
            <w:tcW w:type="dxa" w:w="2520"/>
            <w:tcBorders>
              <w:top w:val="single" w:color="CFDCD5" w:sz="4"/>
              <w:left w:val="single" w:color="CFDCD5" w:sz="4"/>
              <w:bottom w:val="single" w:color="CFDCD5" w:sz="4"/>
              <w:right w:val="single" w:color="CFDCD5" w:sz="4"/>
            </w:tcBorders>
            <w:shd w:fill="26435C" w:val="clear"/>
            <w:vAlign w:val="center"/>
          </w:tcPr>
          <w:p>
            <w:pPr>
              <w:spacing w:after="80" w:before="80"/>
              <w:jc w:val="left"/>
            </w:pPr>
            <w:r>
              <w:rPr>
                <w:rFonts w:ascii="Segoe UI" w:cs="Segoe UI" w:eastAsia="Segoe UI" w:hAnsi="Segoe UI"/>
                <w:b/>
                <w:bCs/>
                <w:color w:val="FFFFFF"/>
                <w:sz w:val="18"/>
                <w:szCs w:val="18"/>
              </w:rPr>
              <w:t xml:space="preserve">HARDWARE PROFILE</w:t>
            </w:r>
          </w:p>
        </w:tc>
        <w:tc>
          <w:tcPr>
            <w:tcW w:type="dxa" w:w="2520"/>
            <w:tcBorders>
              <w:top w:val="single" w:color="CFDCD5" w:sz="4"/>
              <w:left w:val="single" w:color="CFDCD5" w:sz="4"/>
              <w:bottom w:val="single" w:color="CFDCD5" w:sz="4"/>
              <w:right w:val="single" w:color="CFDCD5" w:sz="4"/>
            </w:tcBorders>
            <w:shd w:fill="26435C" w:val="clear"/>
            <w:vAlign w:val="center"/>
          </w:tcPr>
          <w:p>
            <w:pPr>
              <w:spacing w:after="80" w:before="80"/>
              <w:jc w:val="left"/>
            </w:pPr>
            <w:r>
              <w:rPr>
                <w:rFonts w:ascii="Segoe UI" w:cs="Segoe UI" w:eastAsia="Segoe UI" w:hAnsi="Segoe UI"/>
                <w:b/>
                <w:bCs/>
                <w:color w:val="FFFFFF"/>
                <w:sz w:val="18"/>
                <w:szCs w:val="18"/>
              </w:rPr>
              <w:t xml:space="preserve">PRIMARY WORKFLOW</w:t>
            </w:r>
          </w:p>
        </w:tc>
        <w:tc>
          <w:tcPr>
            <w:tcW w:type="dxa" w:w="2520"/>
            <w:tcBorders>
              <w:top w:val="single" w:color="CFDCD5" w:sz="4"/>
              <w:left w:val="single" w:color="CFDCD5" w:sz="4"/>
              <w:bottom w:val="single" w:color="CFDCD5" w:sz="4"/>
              <w:right w:val="single" w:color="CFDCD5" w:sz="4"/>
            </w:tcBorders>
            <w:shd w:fill="26435C" w:val="clear"/>
            <w:vAlign w:val="center"/>
          </w:tcPr>
          <w:p>
            <w:pPr>
              <w:spacing w:after="80" w:before="80"/>
              <w:jc w:val="left"/>
            </w:pPr>
            <w:r>
              <w:rPr>
                <w:rFonts w:ascii="Segoe UI" w:cs="Segoe UI" w:eastAsia="Segoe UI" w:hAnsi="Segoe UI"/>
                <w:b/>
                <w:bCs/>
                <w:color w:val="FFFFFF"/>
                <w:sz w:val="18"/>
                <w:szCs w:val="18"/>
              </w:rPr>
              <w:t xml:space="preserve">SUCCESS CRITERIA</w:t>
            </w:r>
          </w:p>
        </w:tc>
      </w:tr>
      <w:tr>
        <w:trPr>
          <w:cantSplit/>
        </w:trPr>
        <w:tc>
          <w:tcPr>
            <w:tcW w:type="dxa" w:w="18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Marcus
(Power User &amp; Digital Archivist)</w:t>
            </w:r>
          </w:p>
        </w:tc>
        <w:tc>
          <w:tcPr>
            <w:tcW w:type="dxa" w:w="252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AMD Ryzen 9 / Core i9 workstation, 64 GB RAM, dual PCIe 4.0 NVMe, 1–2.5 Gbps fiber, Windows 11 &amp; Ubuntu.</w:t>
            </w:r>
          </w:p>
        </w:tc>
        <w:tc>
          <w:tcPr>
            <w:tcW w:type="dxa" w:w="252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Queues 20–80 GB raw video archives, ISO images, and dataset splits via URL masks. Needs constant queue execution.</w:t>
            </w:r>
          </w:p>
        </w:tc>
        <w:tc>
          <w:tcPr>
            <w:tcW w:type="dxa" w:w="252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0.00s post-download merge delay; sustained 115 MB/s line-rate; 50k+ queue items with zero UI lag.</w:t>
            </w:r>
          </w:p>
        </w:tc>
      </w:tr>
      <w:tr>
        <w:trPr>
          <w:cantSplit/>
        </w:trPr>
        <w:tc>
          <w:tcPr>
            <w:tcW w:type="dxa" w:w="18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Elena
(Developer &amp; Systems Evaluator)</w:t>
            </w:r>
          </w:p>
        </w:tc>
        <w:tc>
          <w:tcPr>
            <w:tcW w:type="dxa" w:w="252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Apple Silicon MacBook Pro (M3 Max, 36 GB RAM, macOS) and ThinkPad (Fedora/Arch Linux).</w:t>
            </w:r>
          </w:p>
        </w:tc>
        <w:tc>
          <w:tcPr>
            <w:tcW w:type="dxa" w:w="252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Downloads ML models (15–30 GB .safetensors), LLVM SDKs, and container dumps across corporate proxies.</w:t>
            </w:r>
          </w:p>
        </w:tc>
        <w:tc>
          <w:tcPr>
            <w:tcW w:type="dxa" w:w="252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Identical cross-platform CLI/GUI parity; &lt;35 MB idle RAM; package-manager distribution (brew, winget, flatpak).</w:t>
            </w:r>
          </w:p>
        </w:tc>
      </w:tr>
      <w:tr>
        <w:trPr>
          <w:cantSplit/>
        </w:trPr>
        <w:tc>
          <w:tcPr>
            <w:tcW w:type="dxa" w:w="18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David
(Everyday Media Consumer)</w:t>
            </w:r>
          </w:p>
        </w:tc>
        <w:tc>
          <w:tcPr>
            <w:tcW w:type="dxa" w:w="252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Mid-tier Windows 11 laptop or Mac mini, 16 GB RAM, 512 GB SSD, standard Wi-Fi 6.</w:t>
            </w:r>
          </w:p>
        </w:tc>
        <w:tc>
          <w:tcPr>
            <w:tcW w:type="dxa" w:w="252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Grabs HLS/DASH streams, webinars, and tutorial footage from video-sharing platforms via browser extension.</w:t>
            </w:r>
          </w:p>
        </w:tc>
        <w:tc>
          <w:tcPr>
            <w:tcW w:type="dxa" w:w="252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Single-click browser capture; lossless stream remuxing with zero audio drift; zero nag modals during presentations.</w:t>
            </w:r>
          </w:p>
        </w:tc>
      </w:tr>
    </w:tbl>
    <w:p>
      <w:pPr>
        <w:spacing w:after="180" w:before="0" w:line="276"/>
        <w:jc w:val="left"/>
      </w:pPr>
      <w:r>
        <w:rPr>
          <w:rFonts w:ascii="Segoe UI" w:cs="Segoe UI" w:eastAsia="Segoe UI" w:hAnsi="Segoe UI"/>
          <w:b w:val="false"/>
          <w:bCs w:val="false"/>
          <w:i w:val="false"/>
          <w:iCs w:val="false"/>
          <w:color w:val="242D35"/>
          <w:sz w:val="21"/>
          <w:szCs w:val="21"/>
        </w:rPr>
        <w:t xml:space="preserve"/>
      </w:r>
    </w:p>
    <w:p>
      <w:pPr>
        <w:pStyle w:val="Heading1"/>
        <w:spacing w:after="140" w:before="320"/>
      </w:pPr>
      <w:r>
        <w:rPr>
          <w:rFonts w:ascii="Segoe UI" w:cs="Segoe UI" w:eastAsia="Segoe UI" w:hAnsi="Segoe UI"/>
          <w:b/>
          <w:bCs/>
          <w:color w:val="26435C"/>
          <w:sz w:val="30"/>
          <w:szCs w:val="30"/>
        </w:rPr>
        <w:t xml:space="preserve">3. Non-Negotiable Product Principles</w:t>
      </w:r>
    </w:p>
    <w:p>
      <w:pPr>
        <w:spacing w:after="120" w:before="0" w:line="276"/>
        <w:jc w:val="left"/>
      </w:pPr>
      <w:r>
        <w:rPr>
          <w:rFonts w:ascii="Segoe UI" w:cs="Segoe UI" w:eastAsia="Segoe UI" w:hAnsi="Segoe UI"/>
          <w:b w:val="false"/>
          <w:bCs w:val="false"/>
          <w:i w:val="false"/>
          <w:iCs w:val="false"/>
          <w:color w:val="242D35"/>
          <w:sz w:val="21"/>
          <w:szCs w:val="21"/>
        </w:rPr>
        <w:t xml:space="preserve">To enforce engineering discipline and prevent architectural drift, all implementation choices must satisfy five non-negotiable principles:</w:t>
      </w:r>
    </w:p>
    <w:p>
      <w:pPr>
        <w:pStyle w:val="ListParagraph"/>
        <w:numPr>
          <w:ilvl w:val="0"/>
          <w:numId w:val="2"/>
        </w:numPr>
        <w:spacing w:after="80" w:before="40" w:line="260"/>
      </w:pPr>
      <w:r>
        <w:rPr>
          <w:rFonts w:ascii="Segoe UI" w:cs="Segoe UI" w:eastAsia="Segoe UI" w:hAnsi="Segoe UI"/>
          <w:b/>
          <w:bCs/>
          <w:color w:val="242D35"/>
          <w:sz w:val="21"/>
          <w:szCs w:val="21"/>
        </w:rPr>
        <w:t xml:space="preserve">Principle 1: Instant Finalization (Zero Merge Delay). </w:t>
      </w:r>
      <w:r>
        <w:rPr>
          <w:rFonts w:ascii="Segoe UI" w:cs="Segoe UI" w:eastAsia="Segoe UI" w:hAnsi="Segoe UI"/>
          <w:color w:val="242D35"/>
          <w:sz w:val="21"/>
          <w:szCs w:val="21"/>
        </w:rPr>
        <w:t xml:space="preserve">A download must transition from in-progress to complete and fully usable within the exact millisecond the last network packet arrives. Sequential chunk concatenation and temporary AppData chunk files are strictly banned.</w:t>
      </w:r>
    </w:p>
    <w:p>
      <w:pPr>
        <w:pStyle w:val="ListParagraph"/>
        <w:numPr>
          <w:ilvl w:val="0"/>
          <w:numId w:val="2"/>
        </w:numPr>
        <w:spacing w:after="80" w:before="40" w:line="260"/>
      </w:pPr>
      <w:r>
        <w:rPr>
          <w:rFonts w:ascii="Segoe UI" w:cs="Segoe UI" w:eastAsia="Segoe UI" w:hAnsi="Segoe UI"/>
          <w:b/>
          <w:bCs/>
          <w:color w:val="242D35"/>
          <w:sz w:val="21"/>
          <w:szCs w:val="21"/>
        </w:rPr>
        <w:t xml:space="preserve">Principle 2: Bounded Resource Budget (&lt; 35 MB Idle Memory). </w:t>
      </w:r>
      <w:r>
        <w:rPr>
          <w:rFonts w:ascii="Segoe UI" w:cs="Segoe UI" w:eastAsia="Segoe UI" w:hAnsi="Segoe UI"/>
          <w:color w:val="242D35"/>
          <w:sz w:val="21"/>
          <w:szCs w:val="21"/>
        </w:rPr>
        <w:t xml:space="preserve">FetchTrek must remain imperceptible when idle, consuming under 35 MB of RAM in GUI mode and under 15 MB when minimized to the tray. Electron, the JVM, and heavy interpreted runtimes are barred from the core.</w:t>
      </w:r>
    </w:p>
    <w:p>
      <w:pPr>
        <w:pStyle w:val="ListParagraph"/>
        <w:numPr>
          <w:ilvl w:val="0"/>
          <w:numId w:val="2"/>
        </w:numPr>
        <w:spacing w:after="80" w:before="40" w:line="260"/>
      </w:pPr>
      <w:r>
        <w:rPr>
          <w:rFonts w:ascii="Segoe UI" w:cs="Segoe UI" w:eastAsia="Segoe UI" w:hAnsi="Segoe UI"/>
          <w:b/>
          <w:bCs/>
          <w:color w:val="242D35"/>
          <w:sz w:val="21"/>
          <w:szCs w:val="21"/>
        </w:rPr>
        <w:t xml:space="preserve">Principle 3: Radical Trust &amp; Zero Hostile Noise. </w:t>
      </w:r>
      <w:r>
        <w:rPr>
          <w:rFonts w:ascii="Segoe UI" w:cs="Segoe UI" w:eastAsia="Segoe UI" w:hAnsi="Segoe UI"/>
          <w:color w:val="242D35"/>
          <w:sz w:val="21"/>
          <w:szCs w:val="21"/>
        </w:rPr>
        <w:t xml:space="preserve">100% Free and Open Source (MIT/Apache 2.0). Zero telemetry pings, zero advertising banners (rejecting FDM's RemoteBannerManager), and zero background elevated services (rejecting FDM's SYSTEM helperservice.exe).</w:t>
      </w:r>
    </w:p>
    <w:p>
      <w:pPr>
        <w:pStyle w:val="ListParagraph"/>
        <w:numPr>
          <w:ilvl w:val="0"/>
          <w:numId w:val="2"/>
        </w:numPr>
        <w:spacing w:after="80" w:before="40" w:line="260"/>
      </w:pPr>
      <w:r>
        <w:rPr>
          <w:rFonts w:ascii="Segoe UI" w:cs="Segoe UI" w:eastAsia="Segoe UI" w:hAnsi="Segoe UI"/>
          <w:b/>
          <w:bCs/>
          <w:color w:val="242D35"/>
          <w:sz w:val="21"/>
          <w:szCs w:val="21"/>
        </w:rPr>
        <w:t xml:space="preserve">Principle 4: Resilient Session Authentication &amp; Autonomous Recovery. </w:t>
      </w:r>
      <w:r>
        <w:rPr>
          <w:rFonts w:ascii="Segoe UI" w:cs="Segoe UI" w:eastAsia="Segoe UI" w:hAnsi="Segoe UI"/>
          <w:color w:val="242D35"/>
          <w:sz w:val="21"/>
          <w:szCs w:val="21"/>
        </w:rPr>
        <w:t xml:space="preserve">Transfers must survive transient network drops, router IP hops, and bot-detection checkpoints. Browser sessions, cookie jars (cf_clearance), and headers forward via Manifest V3 Native Messaging without 403 drops.</w:t>
      </w:r>
    </w:p>
    <w:p>
      <w:pPr>
        <w:pStyle w:val="ListParagraph"/>
        <w:numPr>
          <w:ilvl w:val="0"/>
          <w:numId w:val="2"/>
        </w:numPr>
        <w:spacing w:after="80" w:before="40" w:line="260"/>
      </w:pPr>
      <w:r>
        <w:rPr>
          <w:rFonts w:ascii="Segoe UI" w:cs="Segoe UI" w:eastAsia="Segoe UI" w:hAnsi="Segoe UI"/>
          <w:b/>
          <w:bCs/>
          <w:color w:val="242D35"/>
          <w:sz w:val="21"/>
          <w:szCs w:val="21"/>
        </w:rPr>
        <w:t xml:space="preserve">Principle 5: Deterministic Cross-Platform Parity. </w:t>
      </w:r>
      <w:r>
        <w:rPr>
          <w:rFonts w:ascii="Segoe UI" w:cs="Segoe UI" w:eastAsia="Segoe UI" w:hAnsi="Segoe UI"/>
          <w:color w:val="242D35"/>
          <w:sz w:val="21"/>
          <w:szCs w:val="21"/>
        </w:rPr>
        <w:t xml:space="preserve">No operating system is secondary. Features available on Windows exist identically on macOS and Linux. Persistence uses an embedded ACID-compliant SQLite WAL engine, distributed via native package managers.</w:t>
      </w:r>
    </w:p>
    <w:p>
      <w:pPr>
        <w:spacing w:after="180" w:before="0" w:line="276"/>
        <w:jc w:val="left"/>
      </w:pPr>
      <w:r>
        <w:rPr>
          <w:rFonts w:ascii="Segoe UI" w:cs="Segoe UI" w:eastAsia="Segoe UI" w:hAnsi="Segoe UI"/>
          <w:b w:val="false"/>
          <w:bCs w:val="false"/>
          <w:i w:val="false"/>
          <w:iCs w:val="false"/>
          <w:color w:val="242D35"/>
          <w:sz w:val="21"/>
          <w:szCs w:val="21"/>
        </w:rPr>
        <w:t xml:space="preserve"/>
      </w:r>
    </w:p>
    <w:p>
      <w:pPr>
        <w:pStyle w:val="Heading1"/>
        <w:spacing w:after="140" w:before="320"/>
      </w:pPr>
      <w:r>
        <w:rPr>
          <w:rFonts w:ascii="Segoe UI" w:cs="Segoe UI" w:eastAsia="Segoe UI" w:hAnsi="Segoe UI"/>
          <w:b/>
          <w:bCs/>
          <w:color w:val="26435C"/>
          <w:sz w:val="30"/>
          <w:szCs w:val="30"/>
        </w:rPr>
        <w:t xml:space="preserve">4. Exhaustive Functional Requirements Matrix</w:t>
      </w:r>
    </w:p>
    <w:p>
      <w:pPr>
        <w:spacing w:after="120" w:before="0" w:line="276"/>
        <w:jc w:val="left"/>
      </w:pPr>
      <w:r>
        <w:rPr>
          <w:rFonts w:ascii="Segoe UI" w:cs="Segoe UI" w:eastAsia="Segoe UI" w:hAnsi="Segoe UI"/>
          <w:b w:val="false"/>
          <w:bCs w:val="false"/>
          <w:i w:val="false"/>
          <w:iCs w:val="false"/>
          <w:color w:val="242D35"/>
          <w:sz w:val="21"/>
          <w:szCs w:val="21"/>
        </w:rPr>
        <w:t xml:space="preserve">Requirements are indexed with globally unique, traceable IDs (FR-01 through FR-22) mapped across six functional subsystems: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60"/>
          <w:bottom w:type="dxa" w:w="100"/>
          <w:right w:type="dxa" w:w="160"/>
        </w:tblCellMar>
      </w:tblPr>
      <w:tblGrid>
        <w:gridCol w:w="1080"/>
        <w:gridCol w:w="1620"/>
        <w:gridCol w:w="3330"/>
        <w:gridCol w:w="3330"/>
      </w:tblGrid>
      <w:tr>
        <w:trPr>
          <w:cantSplit/>
          <w:tblHeader/>
        </w:trPr>
        <w:tc>
          <w:tcPr>
            <w:tcW w:type="dxa" w:w="1080"/>
            <w:tcBorders>
              <w:top w:val="single" w:color="CFDCD5" w:sz="4"/>
              <w:left w:val="single" w:color="CFDCD5" w:sz="4"/>
              <w:bottom w:val="single" w:color="CFDCD5" w:sz="4"/>
              <w:right w:val="single" w:color="CFDCD5" w:sz="4"/>
            </w:tcBorders>
            <w:shd w:fill="26435C" w:val="clear"/>
            <w:vAlign w:val="center"/>
          </w:tcPr>
          <w:p>
            <w:pPr>
              <w:spacing w:after="80" w:before="80"/>
              <w:jc w:val="left"/>
            </w:pPr>
            <w:r>
              <w:rPr>
                <w:rFonts w:ascii="Segoe UI" w:cs="Segoe UI" w:eastAsia="Segoe UI" w:hAnsi="Segoe UI"/>
                <w:b/>
                <w:bCs/>
                <w:color w:val="FFFFFF"/>
                <w:sz w:val="18"/>
                <w:szCs w:val="18"/>
              </w:rPr>
              <w:t xml:space="preserve">REQ ID</w:t>
            </w:r>
          </w:p>
        </w:tc>
        <w:tc>
          <w:tcPr>
            <w:tcW w:type="dxa" w:w="1620"/>
            <w:tcBorders>
              <w:top w:val="single" w:color="CFDCD5" w:sz="4"/>
              <w:left w:val="single" w:color="CFDCD5" w:sz="4"/>
              <w:bottom w:val="single" w:color="CFDCD5" w:sz="4"/>
              <w:right w:val="single" w:color="CFDCD5" w:sz="4"/>
            </w:tcBorders>
            <w:shd w:fill="26435C" w:val="clear"/>
            <w:vAlign w:val="center"/>
          </w:tcPr>
          <w:p>
            <w:pPr>
              <w:spacing w:after="80" w:before="80"/>
              <w:jc w:val="left"/>
            </w:pPr>
            <w:r>
              <w:rPr>
                <w:rFonts w:ascii="Segoe UI" w:cs="Segoe UI" w:eastAsia="Segoe UI" w:hAnsi="Segoe UI"/>
                <w:b/>
                <w:bCs/>
                <w:color w:val="FFFFFF"/>
                <w:sz w:val="18"/>
                <w:szCs w:val="18"/>
              </w:rPr>
              <w:t xml:space="preserve">SUBSYSTEM &amp; TITLE</w:t>
            </w:r>
          </w:p>
        </w:tc>
        <w:tc>
          <w:tcPr>
            <w:tcW w:type="dxa" w:w="3330"/>
            <w:tcBorders>
              <w:top w:val="single" w:color="CFDCD5" w:sz="4"/>
              <w:left w:val="single" w:color="CFDCD5" w:sz="4"/>
              <w:bottom w:val="single" w:color="CFDCD5" w:sz="4"/>
              <w:right w:val="single" w:color="CFDCD5" w:sz="4"/>
            </w:tcBorders>
            <w:shd w:fill="26435C" w:val="clear"/>
            <w:vAlign w:val="center"/>
          </w:tcPr>
          <w:p>
            <w:pPr>
              <w:spacing w:after="80" w:before="80"/>
              <w:jc w:val="left"/>
            </w:pPr>
            <w:r>
              <w:rPr>
                <w:rFonts w:ascii="Segoe UI" w:cs="Segoe UI" w:eastAsia="Segoe UI" w:hAnsi="Segoe UI"/>
                <w:b/>
                <w:bCs/>
                <w:color w:val="FFFFFF"/>
                <w:sz w:val="18"/>
                <w:szCs w:val="18"/>
              </w:rPr>
              <w:t xml:space="preserve">USER STORY &amp; INPUT TRIGGER</w:t>
            </w:r>
          </w:p>
        </w:tc>
        <w:tc>
          <w:tcPr>
            <w:tcW w:type="dxa" w:w="3330"/>
            <w:tcBorders>
              <w:top w:val="single" w:color="CFDCD5" w:sz="4"/>
              <w:left w:val="single" w:color="CFDCD5" w:sz="4"/>
              <w:bottom w:val="single" w:color="CFDCD5" w:sz="4"/>
              <w:right w:val="single" w:color="CFDCD5" w:sz="4"/>
            </w:tcBorders>
            <w:shd w:fill="26435C" w:val="clear"/>
            <w:vAlign w:val="center"/>
          </w:tcPr>
          <w:p>
            <w:pPr>
              <w:spacing w:after="80" w:before="80"/>
              <w:jc w:val="left"/>
            </w:pPr>
            <w:r>
              <w:rPr>
                <w:rFonts w:ascii="Segoe UI" w:cs="Segoe UI" w:eastAsia="Segoe UI" w:hAnsi="Segoe UI"/>
                <w:b/>
                <w:bCs/>
                <w:color w:val="FFFFFF"/>
                <w:sz w:val="18"/>
                <w:szCs w:val="18"/>
              </w:rPr>
              <w:t xml:space="preserve">SYSTEM BEHAVIOR &amp; ACCEPTANCE CRITERIA</w:t>
            </w:r>
          </w:p>
        </w:tc>
      </w:tr>
      <w:tr>
        <w:trPr>
          <w:cantSplit/>
        </w:trPr>
        <w:tc>
          <w:tcPr>
            <w:tcW w:type="dxa" w:w="108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FR-01</w:t>
            </w:r>
          </w:p>
        </w:tc>
        <w:tc>
          <w:tcPr>
            <w:tcW w:type="dxa" w:w="162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Core Engine:
Range Probing &amp; Sparse Allocation</w:t>
            </w:r>
          </w:p>
        </w:tc>
        <w:tc>
          <w:tcPr>
            <w:tcW w:type="dxa" w:w="333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Story: As an archiver, I want instant file pre-allocation so that I experience zero disk thrashing.
Trigger: URL submitted.</w:t>
            </w:r>
          </w:p>
        </w:tc>
        <w:tc>
          <w:tcPr>
            <w:tcW w:type="dxa" w:w="333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Behavior: Dispatches GET Range: bytes=0-0 probe. Inspects 206 Partial Content, Content-Range, Content-Length, ETag. If supported, executes OS sparse pre-allocation (Windows: SetFileValidData + SetEndOfFile; Linux: posix_fallocate; macOS: fcntl F_PREALLOCATE).
Acceptance: Pre-allocation completed in &lt;100ms; zero temporary chunk files; 0.00s post-download merge delay.</w:t>
            </w:r>
          </w:p>
        </w:tc>
      </w:tr>
      <w:tr>
        <w:trPr>
          <w:cantSplit/>
        </w:trPr>
        <w:tc>
          <w:tcPr>
            <w:tcW w:type="dxa" w:w="108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FR-02</w:t>
            </w:r>
          </w:p>
        </w:tc>
        <w:tc>
          <w:tcPr>
            <w:tcW w:type="dxa" w:w="162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Core Engine:
Lock-Free Atomic Work-Stealing</w:t>
            </w:r>
          </w:p>
        </w:tc>
        <w:tc>
          <w:tcPr>
            <w:tcW w:type="dxa" w:w="333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Story: As a power user on gigabit fiber, I want active connections to dynamically bisect remaining work.
Trigger: Connection finishes range while peer is lagging.</w:t>
            </w:r>
          </w:p>
        </w:tc>
        <w:tc>
          <w:tcPr>
            <w:tcW w:type="dxa" w:w="333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Behavior: Manages connection pool (1–32). Implements atomic work-stealing using AtomicU64 cursors. When Connection A finishes, it locates Connection B with largest remaining window W &gt;= 2MB, executes atomic CAS to bisect range in half, and dispatches new HTTP Range sub-request without pausing socket B.
Acceptance: Lock-free bisection; sustains 90%+ saturation even if single connection throttled by remote server.</w:t>
            </w:r>
          </w:p>
        </w:tc>
      </w:tr>
      <w:tr>
        <w:trPr>
          <w:cantSplit/>
        </w:trPr>
        <w:tc>
          <w:tcPr>
            <w:tcW w:type="dxa" w:w="108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FR-03</w:t>
            </w:r>
          </w:p>
        </w:tc>
        <w:tc>
          <w:tcPr>
            <w:tcW w:type="dxa" w:w="162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Core Engine:
Async Zero-Copy Disk Writing</w:t>
            </w:r>
          </w:p>
        </w:tc>
        <w:tc>
          <w:tcPr>
            <w:tcW w:type="dxa" w:w="333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Story: As a user writing to NVMe/external disks, I want asynchronous disk flushing.
Trigger: Sockets receive payload data.</w:t>
            </w:r>
          </w:p>
        </w:tc>
        <w:tc>
          <w:tcPr>
            <w:tcW w:type="dxa" w:w="333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Behavior: Network sockets read directly into pre-allocated memory ring buffers (FileDataAsyncWriter). Chunk descriptors passed to dedicated background I/O thread via bounded lock-free queue. Writes executed using io_uring (Linux), IOCP overlapped writes (Windows), or non-blocking pwrite (macOS).
Acceptance: Memory strictly bounded &lt;80 MB at 115 MB/s; zero UI frame drops (sustained 60 fps).</w:t>
            </w:r>
          </w:p>
        </w:tc>
      </w:tr>
      <w:tr>
        <w:trPr>
          <w:cantSplit/>
        </w:trPr>
        <w:tc>
          <w:tcPr>
            <w:tcW w:type="dxa" w:w="108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FR-04</w:t>
            </w:r>
          </w:p>
        </w:tc>
        <w:tc>
          <w:tcPr>
            <w:tcW w:type="dxa" w:w="162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Core Engine:
ACID State &amp; WAL Crash Recovery</w:t>
            </w:r>
          </w:p>
        </w:tc>
        <w:tc>
          <w:tcPr>
            <w:tcW w:type="dxa" w:w="333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Story: As an unstable connection user, I want state preservation against crashes.
Trigger: Pause/Resume clicked, network drop, or SIGKILL.</w:t>
            </w:r>
          </w:p>
        </w:tc>
        <w:tc>
          <w:tcPr>
            <w:tcW w:type="dxa" w:w="333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Behavior: Active chunk bitmasks, byte offsets, ETag, and file lengths committed to SQLite in Write-Ahead Logging (WAL) mode every 1,000ms. On restart, engine verifies WAL against disk file length in &lt;50ms. Resumes missing ranges without re-hashing completed bytes.
Acceptance: Zero corruption after SIGKILL; instant resume from exact byte offset.</w:t>
            </w:r>
          </w:p>
        </w:tc>
      </w:tr>
      <w:tr>
        <w:trPr>
          <w:cantSplit/>
        </w:trPr>
        <w:tc>
          <w:tcPr>
            <w:tcW w:type="dxa" w:w="108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FR-05</w:t>
            </w:r>
          </w:p>
        </w:tc>
        <w:tc>
          <w:tcPr>
            <w:tcW w:type="dxa" w:w="162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Browser:
MV3 Native Messaging Protocol</w:t>
            </w:r>
          </w:p>
        </w:tc>
        <w:tc>
          <w:tcPr>
            <w:tcW w:type="dxa" w:w="333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Story: As a web user, I want browser clicks to trigger FetchTrek directly.
Trigger: User clicks downloadable link.</w:t>
            </w:r>
          </w:p>
        </w:tc>
        <w:tc>
          <w:tcPr>
            <w:tcW w:type="dxa" w:w="333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Behavior: Chromium Manifest V3 and Firefox WebExtensions connect to fetchtrek-host via stdio (32-bit uint32 LE length prefix + JSON UTF-8 payload). Host validates extension ID against whitelist, relays request over ACL-restricted local Named Pipe/Unix domain socket to daemon.
Acceptance: Bridge launch latency &lt;15ms; executes completely in user space without administrative rights.</w:t>
            </w:r>
          </w:p>
        </w:tc>
      </w:tr>
      <w:tr>
        <w:trPr>
          <w:cantSplit/>
        </w:trPr>
        <w:tc>
          <w:tcPr>
            <w:tcW w:type="dxa" w:w="108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FR-06</w:t>
            </w:r>
          </w:p>
        </w:tc>
        <w:tc>
          <w:tcPr>
            <w:tcW w:type="dxa" w:w="162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Browser:
Session Context &amp; Cookie Forwarding</w:t>
            </w:r>
          </w:p>
        </w:tc>
        <w:tc>
          <w:tcPr>
            <w:tcW w:type="dxa" w:w="333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Story: As a user downloading behind bot protection, I want browser session inheritance.
Trigger: Extension intercepts link.</w:t>
            </w:r>
          </w:p>
        </w:tc>
        <w:tc>
          <w:tcPr>
            <w:tcW w:type="dxa" w:w="333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Behavior: Extension queries chrome.cookies.getAll for target URL (including cf_clearance, session tokens), extracts User-Agent, Referer, and Origin headers. Bundles metadata into JSON payload. FetchTrek engine attaches identical headers to all socket segment handshakes.
Acceptance: 100% success rate downloading behind Cloudflare Turnstile and session logins; zero 403 Forbidden errors.</w:t>
            </w:r>
          </w:p>
        </w:tc>
      </w:tr>
      <w:tr>
        <w:trPr>
          <w:cantSplit/>
        </w:trPr>
        <w:tc>
          <w:tcPr>
            <w:tcW w:type="dxa" w:w="108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FR-07</w:t>
            </w:r>
          </w:p>
        </w:tc>
        <w:tc>
          <w:tcPr>
            <w:tcW w:type="dxa" w:w="162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Browser:
Interception Filters &amp; Routing</w:t>
            </w:r>
          </w:p>
        </w:tc>
        <w:tc>
          <w:tcPr>
            <w:tcW w:type="dxa" w:w="333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Story: As a user, I want FetchTrek to capture only designated file types.
Trigger: Download event in browser.</w:t>
            </w:r>
          </w:p>
        </w:tc>
        <w:tc>
          <w:tcPr>
            <w:tcW w:type="dxa" w:w="333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Behavior: Extension filters requests against whitelisted binary extensions (ZIP, ISO, MP4, etc.), domain exclusion regexes, and file size thresholds (&gt;10 MB). If matched, cancels browser download via chrome.downloads.cancel() and passes to FetchTrek.
Acceptance: Minor files (.pdf invoices) download in browser; rule changes update live without browser restart.</w:t>
            </w:r>
          </w:p>
        </w:tc>
      </w:tr>
      <w:tr>
        <w:trPr>
          <w:cantSplit/>
        </w:trPr>
        <w:tc>
          <w:tcPr>
            <w:tcW w:type="dxa" w:w="108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FR-08</w:t>
            </w:r>
          </w:p>
        </w:tc>
        <w:tc>
          <w:tcPr>
            <w:tcW w:type="dxa" w:w="162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Browser:
Hotkey Override Modifiers</w:t>
            </w:r>
          </w:p>
        </w:tc>
        <w:tc>
          <w:tcPr>
            <w:tcW w:type="dxa" w:w="333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Story: As a user, I want on-the-fly hotkeys to force or bypass FetchTrek.
Trigger: Clicking link with modifier held.</w:t>
            </w:r>
          </w:p>
        </w:tc>
        <w:tc>
          <w:tcPr>
            <w:tcW w:type="dxa" w:w="333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Behavior: Holding Alt suppresses interception (forces browser native download). Holding Ctrl/Cmd forces FetchTrek capture regardless of extension blacklist or file size filters.
Acceptance: Instant override without altering global settings.</w:t>
            </w:r>
          </w:p>
        </w:tc>
      </w:tr>
      <w:tr>
        <w:trPr>
          <w:cantSplit/>
        </w:trPr>
        <w:tc>
          <w:tcPr>
            <w:tcW w:type="dxa" w:w="108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FR-09</w:t>
            </w:r>
          </w:p>
        </w:tc>
        <w:tc>
          <w:tcPr>
            <w:tcW w:type="dxa" w:w="162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Media:
HLS &amp; DASH Manifest Sniffing</w:t>
            </w:r>
          </w:p>
        </w:tc>
        <w:tc>
          <w:tcPr>
            <w:tcW w:type="dxa" w:w="333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Story: As a creator, I want automated detection of streaming videos.
Trigger: User visits video playback page.</w:t>
            </w:r>
          </w:p>
        </w:tc>
        <w:tc>
          <w:tcPr>
            <w:tcW w:type="dxa" w:w="333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Behavior: Extension sniffs network requests for .m3u8 and .mpd manifests. Injects floating 'Download Video' badge over media element. Engine parses master playlist, enumerates video streams (4K, 1080p, 720p; AVC, VP9, AV1) and audio tracks (AAC, Opus).
Acceptance: Manifest detected within 500ms of playback; displays resolution and codec selection dialog.</w:t>
            </w:r>
          </w:p>
        </w:tc>
      </w:tr>
      <w:tr>
        <w:trPr>
          <w:cantSplit/>
        </w:trPr>
        <w:tc>
          <w:tcPr>
            <w:tcW w:type="dxa" w:w="108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FR-10</w:t>
            </w:r>
          </w:p>
        </w:tc>
        <w:tc>
          <w:tcPr>
            <w:tcW w:type="dxa" w:w="162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Media:
Parallel Multi-Track Segment Fetching</w:t>
            </w:r>
          </w:p>
        </w:tc>
        <w:tc>
          <w:tcPr>
            <w:tcW w:type="dxa" w:w="333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Story: As an archiver, I want video and audio tracks downloaded simultaneously.
Trigger: Quality profile selected.</w:t>
            </w:r>
          </w:p>
        </w:tc>
        <w:tc>
          <w:tcPr>
            <w:tcW w:type="dxa" w:w="333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Behavior: Engine coordinates two parallel downloads (target.video.tmp and target.audio.tmp). For HLS, concurrently fetches TS/fMP4 segments across worker pool. For DASH, issues segmented byte-range requests for video and audio chunks.
Acceptance: Both tracks download in parallel, saturating available bandwidth; unified progress percentage in UI.</w:t>
            </w:r>
          </w:p>
        </w:tc>
      </w:tr>
      <w:tr>
        <w:trPr>
          <w:cantSplit/>
        </w:trPr>
        <w:tc>
          <w:tcPr>
            <w:tcW w:type="dxa" w:w="108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FR-11</w:t>
            </w:r>
          </w:p>
        </w:tc>
        <w:tc>
          <w:tcPr>
            <w:tcW w:type="dxa" w:w="162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Media:
Lossless Stream Muxing &amp; PTS Sync</w:t>
            </w:r>
          </w:p>
        </w:tc>
        <w:tc>
          <w:tcPr>
            <w:tcW w:type="dxa" w:w="333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Story: As an editor, I want downloaded videos to have synchronized audio.
Trigger: Video and audio tracks finish.</w:t>
            </w:r>
          </w:p>
        </w:tc>
        <w:tc>
          <w:tcPr>
            <w:tcW w:type="dxa" w:w="333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Behavior: Coordinates embedded FFmpeg via anonymous pipes: ffmpeg -y -i video.tmp -i audio.tmp -c copy -movflags +faststart output.mp4. Applies -fflags +genpts -avoid_negative_ts make_zero to fix PTS discontinuities. Unlinks temp tracks upon completion.
Acceptance: 1 GB 1080p stream muxes in &lt;3.5s; zero audio/video drift across VLC, mpv, QuickTime.</w:t>
            </w:r>
          </w:p>
        </w:tc>
      </w:tr>
      <w:tr>
        <w:trPr>
          <w:cantSplit/>
        </w:trPr>
        <w:tc>
          <w:tcPr>
            <w:tcW w:type="dxa" w:w="108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FR-12</w:t>
            </w:r>
          </w:p>
        </w:tc>
        <w:tc>
          <w:tcPr>
            <w:tcW w:type="dxa" w:w="162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BitTorrent:
Magnet URI &amp; Metadata Resolution</w:t>
            </w:r>
          </w:p>
        </w:tc>
        <w:tc>
          <w:tcPr>
            <w:tcW w:type="dxa" w:w="333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Story: As a P2P user, I want to inspect files inside a magnet link before downloading.
Trigger: Magnet URI pasted or .torrent opened.</w:t>
            </w:r>
          </w:p>
        </w:tc>
        <w:tc>
          <w:tcPr>
            <w:tcW w:type="dxa" w:w="333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Behavior: P2P subsystem parses info-hash and announce trackers. Connects to Kademlia DHT and trackers. Pulls metadata dictionary via ut_metadata extension handshake. Parses bencoded file tree and renders file selection dialog with priority checkboxes.
Acceptance: Resolves metadata for healthy swarms in &lt;10s; pre-allocates only user-selected files on disk.</w:t>
            </w:r>
          </w:p>
        </w:tc>
      </w:tr>
      <w:tr>
        <w:trPr>
          <w:cantSplit/>
        </w:trPr>
        <w:tc>
          <w:tcPr>
            <w:tcW w:type="dxa" w:w="108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FR-13</w:t>
            </w:r>
          </w:p>
        </w:tc>
        <w:tc>
          <w:tcPr>
            <w:tcW w:type="dxa" w:w="162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BitTorrent:
uTP Congestion Control &amp; MSE Encryption</w:t>
            </w:r>
          </w:p>
        </w:tc>
        <w:tc>
          <w:tcPr>
            <w:tcW w:type="dxa" w:w="333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Story: As a torrent user, I want encrypted and congestion-aware transfers.
Trigger: Swarm transfer active.</w:t>
            </w:r>
          </w:p>
        </w:tc>
        <w:tc>
          <w:tcPr>
            <w:tcW w:type="dxa" w:w="333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Behavior: Connects via Kademlia DHT, Peer Exchange (ut_pex), and tracker tiers. Enforces Message Stream Encryption (MSE) to bypass ISP traffic shaping. Implements uTP (LEDBAT) over UDP, detecting router queuing delay and throttling back during VoIP/gaming.
Acceptance: Downloads over IPv4 and IPv6; enforced MSE handshakes successfully on encrypted swarms.</w:t>
            </w:r>
          </w:p>
        </w:tc>
      </w:tr>
      <w:tr>
        <w:trPr>
          <w:cantSplit/>
        </w:trPr>
        <w:tc>
          <w:tcPr>
            <w:tcW w:type="dxa" w:w="108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FR-14</w:t>
            </w:r>
          </w:p>
        </w:tc>
        <w:tc>
          <w:tcPr>
            <w:tcW w:type="dxa" w:w="162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BitTorrent:
Sequential Download Preview Mode</w:t>
            </w:r>
          </w:p>
        </w:tc>
        <w:tc>
          <w:tcPr>
            <w:tcW w:type="dxa" w:w="333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Story: As a media consumer, I want to preview videos while torrent is downloading.
Trigger: 'Sequential Download' toggled.</w:t>
            </w:r>
          </w:p>
        </w:tc>
        <w:tc>
          <w:tcPr>
            <w:tcW w:type="dxa" w:w="333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Behavior: Overrides Rarest-First piece picker. Prioritizes first 2% (headers) and last 1% (moov atom / index) of file. Then fetches pieces in linear sequence 0 to N. Activates 'Play / Preview' button launching VLC directly on growing file.
Acceptance: 4 GB 1080p video previewable within 45s of swarm join on healthy swarms.</w:t>
            </w:r>
          </w:p>
        </w:tc>
      </w:tr>
      <w:tr>
        <w:trPr>
          <w:cantSplit/>
        </w:trPr>
        <w:tc>
          <w:tcPr>
            <w:tcW w:type="dxa" w:w="108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FR-15</w:t>
            </w:r>
          </w:p>
        </w:tc>
        <w:tc>
          <w:tcPr>
            <w:tcW w:type="dxa" w:w="162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BitTorrent:
Seeding Rules &amp; Fast-Resume State</w:t>
            </w:r>
          </w:p>
        </w:tc>
        <w:tc>
          <w:tcPr>
            <w:tcW w:type="dxa" w:w="333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Story: As a private tracker user, I want configurable seeding limits and instant startup.
Trigger: Torrent reaches 100% or app restarts.</w:t>
            </w:r>
          </w:p>
        </w:tc>
        <w:tc>
          <w:tcPr>
            <w:tcW w:type="dxa" w:w="333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Behavior: Transitions to seeding; halts when Share Ratio reaches R (e.g., 1.5) or Seed Time reaches T (e.g., 24h). Serializes verified piece bitmasks into SQLite. On startup, reads fast-resume blobs in &lt;50ms without re-checking piece hashes.
Acceptance: Zero disk re-check reads on clean restart; seeding halts deterministically at target ratio.</w:t>
            </w:r>
          </w:p>
        </w:tc>
      </w:tr>
      <w:tr>
        <w:trPr>
          <w:cantSplit/>
        </w:trPr>
        <w:tc>
          <w:tcPr>
            <w:tcW w:type="dxa" w:w="108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FR-16</w:t>
            </w:r>
          </w:p>
        </w:tc>
        <w:tc>
          <w:tcPr>
            <w:tcW w:type="dxa" w:w="162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Desktop UI:
Virtualized Task List Presentation</w:t>
            </w:r>
          </w:p>
        </w:tc>
        <w:tc>
          <w:tcPr>
            <w:tcW w:type="dxa" w:w="333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Story: As a power user with 50,000 tasks, I want a smooth, responsive interface.
Trigger: Scrolling or filtering tasks.</w:t>
            </w:r>
          </w:p>
        </w:tc>
        <w:tc>
          <w:tcPr>
            <w:tcW w:type="dxa" w:w="333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Behavior: Declarative UI (Tauri v2 / Slint) with virtualized list rendering. Allocates UI elements only for rows in active viewport (~30 items) plus 5-item buffer. Core updates batched at 10 Hz UI telemetry rate.
Acceptance: Sustained 60 fps scrolling across 50,000 tasks; UI memory overhead remains &lt;35 MB.</w:t>
            </w:r>
          </w:p>
        </w:tc>
      </w:tr>
      <w:tr>
        <w:trPr>
          <w:cantSplit/>
        </w:trPr>
        <w:tc>
          <w:tcPr>
            <w:tcW w:type="dxa" w:w="108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FR-17</w:t>
            </w:r>
          </w:p>
        </w:tc>
        <w:tc>
          <w:tcPr>
            <w:tcW w:type="dxa" w:w="162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Desktop UI:
Real-Time Vector Speed Graphing</w:t>
            </w:r>
          </w:p>
        </w:tc>
        <w:tc>
          <w:tcPr>
            <w:tcW w:type="dxa" w:w="333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Story: As an evaluator, I want real-time bandwidth and segment chunk maps.
Trigger: Active downloads in progress.</w:t>
            </w:r>
          </w:p>
        </w:tc>
        <w:tc>
          <w:tcPr>
            <w:tcW w:type="dxa" w:w="333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Behavior: Renders hardware-accelerated Canvas/SVG rolling 60-second speed graphs for aggregate throughput. Detailed task view renders active chunk map showing allocated connections, active cursors, and work-stealing split points in real time.
Acceptance: Graph updates every 250ms with smooth cubic interpolation; CPU overhead &lt;0.5% of a single core.</w:t>
            </w:r>
          </w:p>
        </w:tc>
      </w:tr>
      <w:tr>
        <w:trPr>
          <w:cantSplit/>
        </w:trPr>
        <w:tc>
          <w:tcPr>
            <w:tcW w:type="dxa" w:w="108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FR-18</w:t>
            </w:r>
          </w:p>
        </w:tc>
        <w:tc>
          <w:tcPr>
            <w:tcW w:type="dxa" w:w="162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Desktop UI:
Drag-and-Drop Batch Range Expander</w:t>
            </w:r>
          </w:p>
        </w:tc>
        <w:tc>
          <w:tcPr>
            <w:tcW w:type="dxa" w:w="333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Story: As a researcher, I want to queue numbered URL patterns instantly.
Trigger: Dragging text file or entering URL mask.</w:t>
            </w:r>
          </w:p>
        </w:tc>
        <w:tc>
          <w:tcPr>
            <w:tcW w:type="dxa" w:w="333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Behavior: Accepts drag-and-drop of link lists. Built-in batch expander supports numerical/alphabetical masks (e.g., https://site.com/chunk_[01-50].zip). Enqueues discrete tasks in bulk.
Acceptance: Expands and enqueues 1,000 links in &lt;50ms; automated deduplication with skip/rename prompts.</w:t>
            </w:r>
          </w:p>
        </w:tc>
      </w:tr>
      <w:tr>
        <w:trPr>
          <w:cantSplit/>
        </w:trPr>
        <w:tc>
          <w:tcPr>
            <w:tcW w:type="dxa" w:w="108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FR-19</w:t>
            </w:r>
          </w:p>
        </w:tc>
        <w:tc>
          <w:tcPr>
            <w:tcW w:type="dxa" w:w="162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Desktop UI:
Dynamic Theme Engine &amp; High-DPI Scaling</w:t>
            </w:r>
          </w:p>
        </w:tc>
        <w:tc>
          <w:tcPr>
            <w:tcW w:type="dxa" w:w="333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Story: As a user on 4K screens, I want crisp vector UI and dark mode.
Trigger: System theme changes or window moved across monitors.</w:t>
            </w:r>
          </w:p>
        </w:tc>
        <w:tc>
          <w:tcPr>
            <w:tcW w:type="dxa" w:w="333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Behavior: UI rendered entirely with scalable vector icons (SVGs). Listens to OS theme events (Windows AppsUseLightTheme, macOS NSAppearance, Linux XDG Portal). Switches color tokens instantly between Dark, Light, and OLED Black.
Acceptance: Crisp rendering on 150%, 200%, 300% DPI; theme switch applies in &lt;50ms without restart.</w:t>
            </w:r>
          </w:p>
        </w:tc>
      </w:tr>
      <w:tr>
        <w:trPr>
          <w:cantSplit/>
        </w:trPr>
        <w:tc>
          <w:tcPr>
            <w:tcW w:type="dxa" w:w="108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FR-20</w:t>
            </w:r>
          </w:p>
        </w:tc>
        <w:tc>
          <w:tcPr>
            <w:tcW w:type="dxa" w:w="162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Integration:
Tray Minimization &amp; Notification Toasts</w:t>
            </w:r>
          </w:p>
        </w:tc>
        <w:tc>
          <w:tcPr>
            <w:tcW w:type="dxa" w:w="333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Story: As a background downloader, I want taskbar tray presence and alerts.
Trigger: Window closed or download completed.</w:t>
            </w:r>
          </w:p>
        </w:tc>
        <w:tc>
          <w:tcPr>
            <w:tcW w:type="dxa" w:w="333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Behavior: Closing window minimizes core to system tray. Right-click context menu provides 'Pause All', 'Resume All', 'Traffic Mode', and 'Quit'. On task completion, dispatches native OS notification toast with 'Open File' and 'Open Folder' actions.
Acceptance: Clicking 'Open Folder' reveals file highlighted in explorer; tray displays aggregate progress badge.</w:t>
            </w:r>
          </w:p>
        </w:tc>
      </w:tr>
      <w:tr>
        <w:trPr>
          <w:cantSplit/>
        </w:trPr>
        <w:tc>
          <w:tcPr>
            <w:tcW w:type="dxa" w:w="108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FR-21</w:t>
            </w:r>
          </w:p>
        </w:tc>
        <w:tc>
          <w:tcPr>
            <w:tcW w:type="dxa" w:w="162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Integration:
Power Assertions &amp; Shutdown Automation</w:t>
            </w:r>
          </w:p>
        </w:tc>
        <w:tc>
          <w:tcPr>
            <w:tcW w:type="dxa" w:w="333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Story: As an overnight downloader, I want sleep prevention and auto-shutdown.
Trigger: Transfer active; completion action set.</w:t>
            </w:r>
          </w:p>
        </w:tc>
        <w:tc>
          <w:tcPr>
            <w:tcW w:type="dxa" w:w="333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Behavior: Calls OS power assertions (SetThreadExecutionState on Windows, IOPMAssertion on macOS) to prevent sleep during active transfers. On queue completion, initiates 30s abortable countdown dialog; if not cancelled, flushes DB and executes OS shutdown.
Acceptance: Zero sleep interruptions during transfer; 30s abort prompt cleanly cancellable.</w:t>
            </w:r>
          </w:p>
        </w:tc>
      </w:tr>
      <w:tr>
        <w:trPr>
          <w:cantSplit/>
        </w:trPr>
        <w:tc>
          <w:tcPr>
            <w:tcW w:type="dxa" w:w="108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FR-22</w:t>
            </w:r>
          </w:p>
        </w:tc>
        <w:tc>
          <w:tcPr>
            <w:tcW w:type="dxa" w:w="162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Integration:
Privacy-Filtered Clipboard Auto-Detect</w:t>
            </w:r>
          </w:p>
        </w:tc>
        <w:tc>
          <w:tcPr>
            <w:tcW w:type="dxa" w:w="333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Story: As a frequent downloader, I want copied links detected without privacy leaks.
Trigger: URL copied to clipboard.</w:t>
            </w:r>
          </w:p>
        </w:tc>
        <w:tc>
          <w:tcPr>
            <w:tcW w:type="dxa" w:w="333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Behavior: Listens to OS clipboard format notifications. Validates strings against strict URL patterns (whitelisted file extensions, Magnet URIs, video platforms). Discards plain text, passwords, and strings &gt;2,048 chars. Displays compact floating quick-add prompt.
Acceptance: Zero logging of non-download clipboard content; monitoring can be completely toggled off.</w:t>
            </w:r>
          </w:p>
        </w:tc>
      </w:tr>
    </w:tbl>
    <w:p>
      <w:pPr>
        <w:spacing w:after="180" w:before="0" w:line="276"/>
        <w:jc w:val="left"/>
      </w:pPr>
      <w:r>
        <w:rPr>
          <w:rFonts w:ascii="Segoe UI" w:cs="Segoe UI" w:eastAsia="Segoe UI" w:hAnsi="Segoe UI"/>
          <w:b w:val="false"/>
          <w:bCs w:val="false"/>
          <w:i w:val="false"/>
          <w:iCs w:val="false"/>
          <w:color w:val="242D35"/>
          <w:sz w:val="21"/>
          <w:szCs w:val="21"/>
        </w:rPr>
        <w:t xml:space="preserve"/>
      </w:r>
    </w:p>
    <w:p>
      <w:pPr>
        <w:pStyle w:val="Heading1"/>
        <w:spacing w:after="140" w:before="320"/>
      </w:pPr>
      <w:r>
        <w:rPr>
          <w:rFonts w:ascii="Segoe UI" w:cs="Segoe UI" w:eastAsia="Segoe UI" w:hAnsi="Segoe UI"/>
          <w:b/>
          <w:bCs/>
          <w:color w:val="26435C"/>
          <w:sz w:val="30"/>
          <w:szCs w:val="30"/>
        </w:rPr>
        <w:t xml:space="preserve">5. Non-Functional Requirements &amp; Performance Budgets</w:t>
      </w:r>
    </w:p>
    <w:p>
      <w:pPr>
        <w:spacing w:after="120" w:before="0" w:line="276"/>
        <w:jc w:val="left"/>
      </w:pPr>
      <w:r>
        <w:rPr>
          <w:rFonts w:ascii="Segoe UI" w:cs="Segoe UI" w:eastAsia="Segoe UI" w:hAnsi="Segoe UI"/>
          <w:b w:val="false"/>
          <w:bCs w:val="false"/>
          <w:i w:val="false"/>
          <w:iCs w:val="false"/>
          <w:color w:val="242D35"/>
          <w:sz w:val="21"/>
          <w:szCs w:val="21"/>
        </w:rPr>
        <w:t xml:space="preserve">FetchTrek establishes strict, verifiable engineering constraints to prevent the performance regressions and architectural bloat seen in competing products: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60"/>
          <w:bottom w:type="dxa" w:w="100"/>
          <w:right w:type="dxa" w:w="160"/>
        </w:tblCellMar>
      </w:tblPr>
      <w:tblGrid>
        <w:gridCol w:w="1200"/>
        <w:gridCol w:w="2160"/>
        <w:gridCol w:w="2400"/>
        <w:gridCol w:w="3600"/>
      </w:tblGrid>
      <w:tr>
        <w:trPr>
          <w:cantSplit/>
          <w:tblHeader/>
        </w:trPr>
        <w:tc>
          <w:tcPr>
            <w:tcW w:type="dxa" w:w="1200"/>
            <w:tcBorders>
              <w:top w:val="single" w:color="CFDCD5" w:sz="4"/>
              <w:left w:val="single" w:color="CFDCD5" w:sz="4"/>
              <w:bottom w:val="single" w:color="CFDCD5" w:sz="4"/>
              <w:right w:val="single" w:color="CFDCD5" w:sz="4"/>
            </w:tcBorders>
            <w:shd w:fill="26435C" w:val="clear"/>
            <w:vAlign w:val="center"/>
          </w:tcPr>
          <w:p>
            <w:pPr>
              <w:spacing w:after="80" w:before="80"/>
              <w:jc w:val="left"/>
            </w:pPr>
            <w:r>
              <w:rPr>
                <w:rFonts w:ascii="Segoe UI" w:cs="Segoe UI" w:eastAsia="Segoe UI" w:hAnsi="Segoe UI"/>
                <w:b/>
                <w:bCs/>
                <w:color w:val="FFFFFF"/>
                <w:sz w:val="18"/>
                <w:szCs w:val="18"/>
              </w:rPr>
              <w:t xml:space="preserve">NFR ID</w:t>
            </w:r>
          </w:p>
        </w:tc>
        <w:tc>
          <w:tcPr>
            <w:tcW w:type="dxa" w:w="2160"/>
            <w:tcBorders>
              <w:top w:val="single" w:color="CFDCD5" w:sz="4"/>
              <w:left w:val="single" w:color="CFDCD5" w:sz="4"/>
              <w:bottom w:val="single" w:color="CFDCD5" w:sz="4"/>
              <w:right w:val="single" w:color="CFDCD5" w:sz="4"/>
            </w:tcBorders>
            <w:shd w:fill="26435C" w:val="clear"/>
            <w:vAlign w:val="center"/>
          </w:tcPr>
          <w:p>
            <w:pPr>
              <w:spacing w:after="80" w:before="80"/>
              <w:jc w:val="left"/>
            </w:pPr>
            <w:r>
              <w:rPr>
                <w:rFonts w:ascii="Segoe UI" w:cs="Segoe UI" w:eastAsia="Segoe UI" w:hAnsi="Segoe UI"/>
                <w:b/>
                <w:bCs/>
                <w:color w:val="FFFFFF"/>
                <w:sz w:val="18"/>
                <w:szCs w:val="18"/>
              </w:rPr>
              <w:t xml:space="preserve">CATEGORY &amp; TARGET</w:t>
            </w:r>
          </w:p>
        </w:tc>
        <w:tc>
          <w:tcPr>
            <w:tcW w:type="dxa" w:w="2400"/>
            <w:tcBorders>
              <w:top w:val="single" w:color="CFDCD5" w:sz="4"/>
              <w:left w:val="single" w:color="CFDCD5" w:sz="4"/>
              <w:bottom w:val="single" w:color="CFDCD5" w:sz="4"/>
              <w:right w:val="single" w:color="CFDCD5" w:sz="4"/>
            </w:tcBorders>
            <w:shd w:fill="26435C" w:val="clear"/>
            <w:vAlign w:val="center"/>
          </w:tcPr>
          <w:p>
            <w:pPr>
              <w:spacing w:after="80" w:before="80"/>
              <w:jc w:val="left"/>
            </w:pPr>
            <w:r>
              <w:rPr>
                <w:rFonts w:ascii="Segoe UI" w:cs="Segoe UI" w:eastAsia="Segoe UI" w:hAnsi="Segoe UI"/>
                <w:b/>
                <w:bCs/>
                <w:color w:val="FFFFFF"/>
                <w:sz w:val="18"/>
                <w:szCs w:val="18"/>
              </w:rPr>
              <w:t xml:space="preserve">QUANTITATIVE BENCHMARK</w:t>
            </w:r>
          </w:p>
        </w:tc>
        <w:tc>
          <w:tcPr>
            <w:tcW w:type="dxa" w:w="3600"/>
            <w:tcBorders>
              <w:top w:val="single" w:color="CFDCD5" w:sz="4"/>
              <w:left w:val="single" w:color="CFDCD5" w:sz="4"/>
              <w:bottom w:val="single" w:color="CFDCD5" w:sz="4"/>
              <w:right w:val="single" w:color="CFDCD5" w:sz="4"/>
            </w:tcBorders>
            <w:shd w:fill="26435C" w:val="clear"/>
            <w:vAlign w:val="center"/>
          </w:tcPr>
          <w:p>
            <w:pPr>
              <w:spacing w:after="80" w:before="80"/>
              <w:jc w:val="left"/>
            </w:pPr>
            <w:r>
              <w:rPr>
                <w:rFonts w:ascii="Segoe UI" w:cs="Segoe UI" w:eastAsia="Segoe UI" w:hAnsi="Segoe UI"/>
                <w:b/>
                <w:bCs/>
                <w:color w:val="FFFFFF"/>
                <w:sz w:val="18"/>
                <w:szCs w:val="18"/>
              </w:rPr>
              <w:t xml:space="preserve">ARCHITECTURAL RULE &amp; VERIFICATION METHOD</w:t>
            </w:r>
          </w:p>
        </w:tc>
      </w:tr>
      <w:tr>
        <w:trPr>
          <w:cantSplit/>
        </w:trPr>
        <w:tc>
          <w:tcPr>
            <w:tcW w:type="dxa" w:w="12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NFR-P1</w:t>
            </w:r>
          </w:p>
        </w:tc>
        <w:tc>
          <w:tcPr>
            <w:tcW w:type="dxa" w:w="216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Performance:
Cold Start Latency</w:t>
            </w:r>
          </w:p>
        </w:tc>
        <w:tc>
          <w:tcPr>
            <w:tcW w:type="dxa" w:w="24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&lt; 800 ms (NVMe SSD)
&lt; 1,500 ms (HDD)</w:t>
            </w:r>
          </w:p>
        </w:tc>
        <w:tc>
          <w:tcPr>
            <w:tcW w:type="dxa" w:w="36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Zero synchronous network calls on launch; zero heavy VM runtimes (no Electron, no JVM); assets memory-mapped via mmap.</w:t>
            </w:r>
          </w:p>
        </w:tc>
      </w:tr>
      <w:tr>
        <w:trPr>
          <w:cantSplit/>
        </w:trPr>
        <w:tc>
          <w:tcPr>
            <w:tcW w:type="dxa" w:w="12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NFR-P2</w:t>
            </w:r>
          </w:p>
        </w:tc>
        <w:tc>
          <w:tcPr>
            <w:tcW w:type="dxa" w:w="216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Performance:
Bounded Memory Footprint</w:t>
            </w:r>
          </w:p>
        </w:tc>
        <w:tc>
          <w:tcPr>
            <w:tcW w:type="dxa" w:w="24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Idle GUI: &lt; 35 MB RSS
Tray Daemon: &lt; 15 MB RSS
Active 1 Gbps: &lt; 80 MB RSS</w:t>
            </w:r>
          </w:p>
        </w:tc>
        <w:tc>
          <w:tcPr>
            <w:tcW w:type="dxa" w:w="36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Hard ceiling at 95 MB RSS. Sockets pump into bounded memory ring buffers; memory reused across segments; virtualized list rendering.</w:t>
            </w:r>
          </w:p>
        </w:tc>
      </w:tr>
      <w:tr>
        <w:trPr>
          <w:cantSplit/>
        </w:trPr>
        <w:tc>
          <w:tcPr>
            <w:tcW w:type="dxa" w:w="12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NFR-P3</w:t>
            </w:r>
          </w:p>
        </w:tc>
        <w:tc>
          <w:tcPr>
            <w:tcW w:type="dxa" w:w="216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Performance:
Line-Rate CPU Efficiency</w:t>
            </w:r>
          </w:p>
        </w:tc>
        <w:tc>
          <w:tcPr>
            <w:tcW w:type="dxa" w:w="24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&lt; 4.0% total on 8-core CPU
(&lt; 25% single core) at 1 Gbps</w:t>
            </w:r>
          </w:p>
        </w:tc>
        <w:tc>
          <w:tcPr>
            <w:tcW w:type="dxa" w:w="36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Zero-copy async I/O via io_uring (Linux), IOCP overlapped writes (Windows), pwrite (macOS); lock-free ring buffers eliminate thread contention.</w:t>
            </w:r>
          </w:p>
        </w:tc>
      </w:tr>
      <w:tr>
        <w:trPr>
          <w:cantSplit/>
        </w:trPr>
        <w:tc>
          <w:tcPr>
            <w:tcW w:type="dxa" w:w="12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NFR-P4</w:t>
            </w:r>
          </w:p>
        </w:tc>
        <w:tc>
          <w:tcPr>
            <w:tcW w:type="dxa" w:w="216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Performance:
Connection Scalability</w:t>
            </w:r>
          </w:p>
        </w:tc>
        <w:tc>
          <w:tcPr>
            <w:tcW w:type="dxa" w:w="24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Up to 32 connections / task
Up to 256 global sockets</w:t>
            </w:r>
          </w:p>
        </w:tc>
        <w:tc>
          <w:tcPr>
            <w:tcW w:type="dxa" w:w="36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Non-blocking epoll/IOCP event loop; prevents OS file descriptor or socket exhaustion under heavy concurrent queuing.</w:t>
            </w:r>
          </w:p>
        </w:tc>
      </w:tr>
      <w:tr>
        <w:trPr>
          <w:cantSplit/>
        </w:trPr>
        <w:tc>
          <w:tcPr>
            <w:tcW w:type="dxa" w:w="12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NFR-R1</w:t>
            </w:r>
          </w:p>
        </w:tc>
        <w:tc>
          <w:tcPr>
            <w:tcW w:type="dxa" w:w="216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Reliability:
ACID Crash Recovery</w:t>
            </w:r>
          </w:p>
        </w:tc>
        <w:tc>
          <w:tcPr>
            <w:tcW w:type="dxa" w:w="24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Zero byte loss; startup WAL verification in &lt; 50 ms</w:t>
            </w:r>
          </w:p>
        </w:tc>
        <w:tc>
          <w:tcPr>
            <w:tcW w:type="dxa" w:w="36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SQLite 3.x in WAL mode with PRAGMA synchronous = NORMAL. Verified byte cursors committed every 1,000ms; auto-truncates uncommitted tail bytes.</w:t>
            </w:r>
          </w:p>
        </w:tc>
      </w:tr>
      <w:tr>
        <w:trPr>
          <w:cantSplit/>
        </w:trPr>
        <w:tc>
          <w:tcPr>
            <w:tcW w:type="dxa" w:w="12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NFR-R2</w:t>
            </w:r>
          </w:p>
        </w:tc>
        <w:tc>
          <w:tcPr>
            <w:tcW w:type="dxa" w:w="216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Reliability:
Network Loss Resilience</w:t>
            </w:r>
          </w:p>
        </w:tc>
        <w:tc>
          <w:tcPr>
            <w:tcW w:type="dxa" w:w="24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Maintains task state for up to 24h during network outage</w:t>
            </w:r>
          </w:p>
        </w:tc>
        <w:tc>
          <w:tcPr>
            <w:tcW w:type="dxa" w:w="36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Socket read timeouts at 15s. Exponential backoff retry: delta_t = min(1 * 2^retry, 30s) up to 10 attempts before marking paused.</w:t>
            </w:r>
          </w:p>
        </w:tc>
      </w:tr>
      <w:tr>
        <w:trPr>
          <w:cantSplit/>
        </w:trPr>
        <w:tc>
          <w:tcPr>
            <w:tcW w:type="dxa" w:w="12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NFR-R3</w:t>
            </w:r>
          </w:p>
        </w:tc>
        <w:tc>
          <w:tcPr>
            <w:tcW w:type="dxa" w:w="216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Reliability:
Dynamic Interface Hops</w:t>
            </w:r>
          </w:p>
        </w:tc>
        <w:tc>
          <w:tcPr>
            <w:tcW w:type="dxa" w:w="24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Seamless failover within 2.0s of IP route changes</w:t>
            </w:r>
          </w:p>
        </w:tc>
        <w:tc>
          <w:tcPr>
            <w:tcW w:type="dxa" w:w="36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Listens to OS routing changes (NotifyAddrChange, Netlink RTM_NEWADDR). Resets dead sockets and re-binds to new default IP without task abort.</w:t>
            </w:r>
          </w:p>
        </w:tc>
      </w:tr>
      <w:tr>
        <w:trPr>
          <w:cantSplit/>
        </w:trPr>
        <w:tc>
          <w:tcPr>
            <w:tcW w:type="dxa" w:w="12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NFR-R4</w:t>
            </w:r>
          </w:p>
        </w:tc>
        <w:tc>
          <w:tcPr>
            <w:tcW w:type="dxa" w:w="216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Reliability:
Segment Checksum Repair</w:t>
            </w:r>
          </w:p>
        </w:tc>
        <w:tc>
          <w:tcPr>
            <w:tcW w:type="dxa" w:w="24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Rolls back only corrupted 2 MB piece on checksum failure</w:t>
            </w:r>
          </w:p>
        </w:tc>
        <w:tc>
          <w:tcPr>
            <w:tcW w:type="dxa" w:w="36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Verifies 2 MB chunk hashes when supported (Metalink, BitTorrent). Only failing block rolled back; remaining 99% of file untouched.</w:t>
            </w:r>
          </w:p>
        </w:tc>
      </w:tr>
      <w:tr>
        <w:trPr>
          <w:cantSplit/>
        </w:trPr>
        <w:tc>
          <w:tcPr>
            <w:tcW w:type="dxa" w:w="12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NFR-S1</w:t>
            </w:r>
          </w:p>
        </w:tc>
        <w:tc>
          <w:tcPr>
            <w:tcW w:type="dxa" w:w="216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Security &amp; Privacy:
Absolute Zero Telemetry</w:t>
            </w:r>
          </w:p>
        </w:tc>
        <w:tc>
          <w:tcPr>
            <w:tcW w:type="dxa" w:w="24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0 outbound tracking packets;
Zero remote banner ads</w:t>
            </w:r>
          </w:p>
        </w:tc>
        <w:tc>
          <w:tcPr>
            <w:tcW w:type="dxa" w:w="36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No analytics or phone-home code; crash dumps saved locally only; release update checks query GitHub Releases API strictly upon user trigger.</w:t>
            </w:r>
          </w:p>
        </w:tc>
      </w:tr>
      <w:tr>
        <w:trPr>
          <w:cantSplit/>
        </w:trPr>
        <w:tc>
          <w:tcPr>
            <w:tcW w:type="dxa" w:w="12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NFR-S2</w:t>
            </w:r>
          </w:p>
        </w:tc>
        <w:tc>
          <w:tcPr>
            <w:tcW w:type="dxa" w:w="216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Security &amp; Privacy:
OS-Native Credential Vaults</w:t>
            </w:r>
          </w:p>
        </w:tc>
        <w:tc>
          <w:tcPr>
            <w:tcW w:type="dxa" w:w="24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Zero plain text credentials stored in SQLite database</w:t>
            </w:r>
          </w:p>
        </w:tc>
        <w:tc>
          <w:tcPr>
            <w:tcW w:type="dxa" w:w="36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Credentials stored in Windows Credential Manager / DPAPI, macOS Keychain, and Linux Secret Service API (libsecret / D-Bus).</w:t>
            </w:r>
          </w:p>
        </w:tc>
      </w:tr>
      <w:tr>
        <w:trPr>
          <w:cantSplit/>
        </w:trPr>
        <w:tc>
          <w:tcPr>
            <w:tcW w:type="dxa" w:w="12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NFR-S3</w:t>
            </w:r>
          </w:p>
        </w:tc>
        <w:tc>
          <w:tcPr>
            <w:tcW w:type="dxa" w:w="216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Security &amp; Privacy:
Sandboxed Browser IPC</w:t>
            </w:r>
          </w:p>
        </w:tc>
        <w:tc>
          <w:tcPr>
            <w:tcW w:type="dxa" w:w="24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Payload &lt;= 1 MB; strict JSON schema validation</w:t>
            </w:r>
          </w:p>
        </w:tc>
        <w:tc>
          <w:tcPr>
            <w:tcW w:type="dxa" w:w="36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Whitelists extension IDs; validates http/https/ftp/magnet schemes; Named Pipe / Unix socket protected with restricted ACLs (0600).</w:t>
            </w:r>
          </w:p>
        </w:tc>
      </w:tr>
      <w:tr>
        <w:trPr>
          <w:cantSplit/>
        </w:trPr>
        <w:tc>
          <w:tcPr>
            <w:tcW w:type="dxa" w:w="12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NFR-C1</w:t>
            </w:r>
          </w:p>
        </w:tc>
        <w:tc>
          <w:tcPr>
            <w:tcW w:type="dxa" w:w="216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Platform Parity:
OS Support Matrix</w:t>
            </w:r>
          </w:p>
        </w:tc>
        <w:tc>
          <w:tcPr>
            <w:tcW w:type="dxa" w:w="24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Windows 10/11, macOS 12+, Linux (glibc &gt;= 2.31 / musl)</w:t>
            </w:r>
          </w:p>
        </w:tc>
        <w:tc>
          <w:tcPr>
            <w:tcW w:type="dxa" w:w="36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Pure compiled Rust core; certified 64-bit binaries (x86_64, ARM64 Apple Silicon, ARM64 Windows Snapdragon X Elite).</w:t>
            </w:r>
          </w:p>
        </w:tc>
      </w:tr>
      <w:tr>
        <w:trPr>
          <w:cantSplit/>
        </w:trPr>
        <w:tc>
          <w:tcPr>
            <w:tcW w:type="dxa" w:w="12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NFR-C2</w:t>
            </w:r>
          </w:p>
        </w:tc>
        <w:tc>
          <w:tcPr>
            <w:tcW w:type="dxa" w:w="216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Platform Parity:
File System Compatibility</w:t>
            </w:r>
          </w:p>
        </w:tc>
        <w:tc>
          <w:tcPr>
            <w:tcW w:type="dxa" w:w="24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NTFS, ReFS, APFS, ext4, Btrfs, ZFS, exFAT / FAT32</w:t>
            </w:r>
          </w:p>
        </w:tc>
        <w:tc>
          <w:tcPr>
            <w:tcW w:type="dxa" w:w="36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Pre-flight check detects FAT32; aborts if file &gt;= 4 GB with clear warning; supports sparse files and pre-allocation across all native file systems.</w:t>
            </w:r>
          </w:p>
        </w:tc>
      </w:tr>
    </w:tbl>
    <w:p>
      <w:pPr>
        <w:spacing w:after="180" w:before="0" w:line="276"/>
        <w:jc w:val="left"/>
      </w:pPr>
      <w:r>
        <w:rPr>
          <w:rFonts w:ascii="Segoe UI" w:cs="Segoe UI" w:eastAsia="Segoe UI" w:hAnsi="Segoe UI"/>
          <w:b w:val="false"/>
          <w:bCs w:val="false"/>
          <w:i w:val="false"/>
          <w:iCs w:val="false"/>
          <w:color w:val="242D35"/>
          <w:sz w:val="21"/>
          <w:szCs w:val="21"/>
        </w:rPr>
        <w:t xml:space="preserve"/>
      </w:r>
    </w:p>
    <w:p>
      <w:pPr>
        <w:pStyle w:val="Heading1"/>
        <w:spacing w:after="140" w:before="320"/>
      </w:pPr>
      <w:r>
        <w:rPr>
          <w:rFonts w:ascii="Segoe UI" w:cs="Segoe UI" w:eastAsia="Segoe UI" w:hAnsi="Segoe UI"/>
          <w:b/>
          <w:bCs/>
          <w:color w:val="26435C"/>
          <w:sz w:val="30"/>
          <w:szCs w:val="30"/>
        </w:rPr>
        <w:t xml:space="preserve">6. Edge Cases, Exception Handling &amp; Recovery Policies</w:t>
      </w:r>
    </w:p>
    <w:p>
      <w:pPr>
        <w:spacing w:after="120" w:before="0" w:line="276"/>
        <w:jc w:val="left"/>
      </w:pPr>
      <w:r>
        <w:rPr>
          <w:rFonts w:ascii="Segoe UI" w:cs="Segoe UI" w:eastAsia="Segoe UI" w:hAnsi="Segoe UI"/>
          <w:b w:val="false"/>
          <w:bCs w:val="false"/>
          <w:i w:val="false"/>
          <w:iCs w:val="false"/>
          <w:color w:val="242D35"/>
          <w:sz w:val="21"/>
          <w:szCs w:val="21"/>
        </w:rPr>
        <w:t xml:space="preserve">Robustness against real-world network edge cases is a core design requirement. The following decision protocols govern non-standard conditions: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60"/>
          <w:bottom w:type="dxa" w:w="100"/>
          <w:right w:type="dxa" w:w="160"/>
        </w:tblCellMar>
      </w:tblPr>
      <w:tblGrid>
        <w:gridCol w:w="960"/>
        <w:gridCol w:w="1800"/>
        <w:gridCol w:w="2200"/>
        <w:gridCol w:w="2200"/>
        <w:gridCol w:w="2200"/>
      </w:tblGrid>
      <w:tr>
        <w:trPr>
          <w:cantSplit/>
          <w:tblHeader/>
        </w:trPr>
        <w:tc>
          <w:tcPr>
            <w:tcW w:type="dxa" w:w="960"/>
            <w:tcBorders>
              <w:top w:val="single" w:color="CFDCD5" w:sz="4"/>
              <w:left w:val="single" w:color="CFDCD5" w:sz="4"/>
              <w:bottom w:val="single" w:color="CFDCD5" w:sz="4"/>
              <w:right w:val="single" w:color="CFDCD5" w:sz="4"/>
            </w:tcBorders>
            <w:shd w:fill="26435C" w:val="clear"/>
            <w:vAlign w:val="center"/>
          </w:tcPr>
          <w:p>
            <w:pPr>
              <w:spacing w:after="80" w:before="80"/>
              <w:jc w:val="left"/>
            </w:pPr>
            <w:r>
              <w:rPr>
                <w:rFonts w:ascii="Segoe UI" w:cs="Segoe UI" w:eastAsia="Segoe UI" w:hAnsi="Segoe UI"/>
                <w:b/>
                <w:bCs/>
                <w:color w:val="FFFFFF"/>
                <w:sz w:val="18"/>
                <w:szCs w:val="18"/>
              </w:rPr>
              <w:t xml:space="preserve">EDGE CASE ID</w:t>
            </w:r>
          </w:p>
        </w:tc>
        <w:tc>
          <w:tcPr>
            <w:tcW w:type="dxa" w:w="1800"/>
            <w:tcBorders>
              <w:top w:val="single" w:color="CFDCD5" w:sz="4"/>
              <w:left w:val="single" w:color="CFDCD5" w:sz="4"/>
              <w:bottom w:val="single" w:color="CFDCD5" w:sz="4"/>
              <w:right w:val="single" w:color="CFDCD5" w:sz="4"/>
            </w:tcBorders>
            <w:shd w:fill="26435C" w:val="clear"/>
            <w:vAlign w:val="center"/>
          </w:tcPr>
          <w:p>
            <w:pPr>
              <w:spacing w:after="80" w:before="80"/>
              <w:jc w:val="left"/>
            </w:pPr>
            <w:r>
              <w:rPr>
                <w:rFonts w:ascii="Segoe UI" w:cs="Segoe UI" w:eastAsia="Segoe UI" w:hAnsi="Segoe UI"/>
                <w:b/>
                <w:bCs/>
                <w:color w:val="FFFFFF"/>
                <w:sz w:val="18"/>
                <w:szCs w:val="18"/>
              </w:rPr>
              <w:t xml:space="preserve">SUBSYSTEM &amp; TITLE</w:t>
            </w:r>
          </w:p>
        </w:tc>
        <w:tc>
          <w:tcPr>
            <w:tcW w:type="dxa" w:w="2200"/>
            <w:tcBorders>
              <w:top w:val="single" w:color="CFDCD5" w:sz="4"/>
              <w:left w:val="single" w:color="CFDCD5" w:sz="4"/>
              <w:bottom w:val="single" w:color="CFDCD5" w:sz="4"/>
              <w:right w:val="single" w:color="CFDCD5" w:sz="4"/>
            </w:tcBorders>
            <w:shd w:fill="26435C" w:val="clear"/>
            <w:vAlign w:val="center"/>
          </w:tcPr>
          <w:p>
            <w:pPr>
              <w:spacing w:after="80" w:before="80"/>
              <w:jc w:val="left"/>
            </w:pPr>
            <w:r>
              <w:rPr>
                <w:rFonts w:ascii="Segoe UI" w:cs="Segoe UI" w:eastAsia="Segoe UI" w:hAnsi="Segoe UI"/>
                <w:b/>
                <w:bCs/>
                <w:color w:val="FFFFFF"/>
                <w:sz w:val="18"/>
                <w:szCs w:val="18"/>
              </w:rPr>
              <w:t xml:space="preserve">CONDITION &amp; TRIGGER</w:t>
            </w:r>
          </w:p>
        </w:tc>
        <w:tc>
          <w:tcPr>
            <w:tcW w:type="dxa" w:w="2200"/>
            <w:tcBorders>
              <w:top w:val="single" w:color="CFDCD5" w:sz="4"/>
              <w:left w:val="single" w:color="CFDCD5" w:sz="4"/>
              <w:bottom w:val="single" w:color="CFDCD5" w:sz="4"/>
              <w:right w:val="single" w:color="CFDCD5" w:sz="4"/>
            </w:tcBorders>
            <w:shd w:fill="26435C" w:val="clear"/>
            <w:vAlign w:val="center"/>
          </w:tcPr>
          <w:p>
            <w:pPr>
              <w:spacing w:after="80" w:before="80"/>
              <w:jc w:val="left"/>
            </w:pPr>
            <w:r>
              <w:rPr>
                <w:rFonts w:ascii="Segoe UI" w:cs="Segoe UI" w:eastAsia="Segoe UI" w:hAnsi="Segoe UI"/>
                <w:b/>
                <w:bCs/>
                <w:color w:val="FFFFFF"/>
                <w:sz w:val="18"/>
                <w:szCs w:val="18"/>
              </w:rPr>
              <w:t xml:space="preserve">CORE SYSTEM BEHAVIOR</w:t>
            </w:r>
          </w:p>
        </w:tc>
        <w:tc>
          <w:tcPr>
            <w:tcW w:type="dxa" w:w="2200"/>
            <w:tcBorders>
              <w:top w:val="single" w:color="CFDCD5" w:sz="4"/>
              <w:left w:val="single" w:color="CFDCD5" w:sz="4"/>
              <w:bottom w:val="single" w:color="CFDCD5" w:sz="4"/>
              <w:right w:val="single" w:color="CFDCD5" w:sz="4"/>
            </w:tcBorders>
            <w:shd w:fill="26435C" w:val="clear"/>
            <w:vAlign w:val="center"/>
          </w:tcPr>
          <w:p>
            <w:pPr>
              <w:spacing w:after="80" w:before="80"/>
              <w:jc w:val="left"/>
            </w:pPr>
            <w:r>
              <w:rPr>
                <w:rFonts w:ascii="Segoe UI" w:cs="Segoe UI" w:eastAsia="Segoe UI" w:hAnsi="Segoe UI"/>
                <w:b/>
                <w:bCs/>
                <w:color w:val="FFFFFF"/>
                <w:sz w:val="18"/>
                <w:szCs w:val="18"/>
              </w:rPr>
              <w:t xml:space="preserve">USER EXPERIENCE &amp; RECOVERY</w:t>
            </w:r>
          </w:p>
        </w:tc>
      </w:tr>
      <w:tr>
        <w:trPr>
          <w:cantSplit/>
        </w:trPr>
        <w:tc>
          <w:tcPr>
            <w:tcW w:type="dxa" w:w="96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EC-01</w:t>
            </w:r>
          </w:p>
        </w:tc>
        <w:tc>
          <w:tcPr>
            <w:tcW w:type="dxa" w:w="18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Non-Resumable Servers
(HTTP 200 without Range)</w:t>
            </w:r>
          </w:p>
        </w:tc>
        <w:tc>
          <w:tcPr>
            <w:tcW w:type="dxa" w:w="22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Server returns HTTP 200 OK without Accept-Ranges header; Content-Length unknown or chunked transfer encoding.</w:t>
            </w:r>
          </w:p>
        </w:tc>
        <w:tc>
          <w:tcPr>
            <w:tcW w:type="dxa" w:w="22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Engine flags resumeSupport = false. Allocates single connection worker; writes sequentially to temporary .part file without sparse pre-allocation.</w:t>
            </w:r>
          </w:p>
        </w:tc>
        <w:tc>
          <w:tcPr>
            <w:tcW w:type="dxa" w:w="22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UI displays '[Single Stream - Non-Resumable]' badge. Pause button changes to 'Stop'. User warned that interrupting download restarts from 0%.</w:t>
            </w:r>
          </w:p>
        </w:tc>
      </w:tr>
      <w:tr>
        <w:trPr>
          <w:cantSplit/>
        </w:trPr>
        <w:tc>
          <w:tcPr>
            <w:tcW w:type="dxa" w:w="96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EC-02</w:t>
            </w:r>
          </w:p>
        </w:tc>
        <w:tc>
          <w:tcPr>
            <w:tcW w:type="dxa" w:w="18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Expiring Signed URLs
(AWS S3 / GCS Mid-Transfer)</w:t>
            </w:r>
          </w:p>
        </w:tc>
        <w:tc>
          <w:tcPr>
            <w:tcW w:type="dxa" w:w="22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Pre-signed link tokens expire mid-download (e.g., X-Amz-Expires=3600), producing HTTP 401/403 errors across active sockets.</w:t>
            </w:r>
          </w:p>
        </w:tc>
        <w:tc>
          <w:tcPr>
            <w:tcW w:type="dxa" w:w="22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Engine halts socket connections immediately without discarding downloaded blocks or corrupting sparse file container. Flags task as 'Link Expired'.</w:t>
            </w:r>
          </w:p>
        </w:tc>
        <w:tc>
          <w:tcPr>
            <w:tcW w:type="dxa" w:w="22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Extension automatically queries active browser tab for fresh URL. Manual fallback: 1-click 'Refresh Download Address' updates URL in SQLite and resumes.</w:t>
            </w:r>
          </w:p>
        </w:tc>
      </w:tr>
      <w:tr>
        <w:trPr>
          <w:cantSplit/>
        </w:trPr>
        <w:tc>
          <w:tcPr>
            <w:tcW w:type="dxa" w:w="96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EC-03</w:t>
            </w:r>
          </w:p>
        </w:tc>
        <w:tc>
          <w:tcPr>
            <w:tcW w:type="dxa" w:w="18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Cloudflare Challenge Pages
&amp; Anti-Bot Checkpoints</w:t>
            </w:r>
          </w:p>
        </w:tc>
        <w:tc>
          <w:tcPr>
            <w:tcW w:type="dxa" w:w="22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Target link protected by Cloudflare Turnstile, hCaptcha, or DDoS-Guard, returning HTTP 403/503 HTML challenge pages.</w:t>
            </w:r>
          </w:p>
        </w:tc>
        <w:tc>
          <w:tcPr>
            <w:tcW w:type="dxa" w:w="22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Extension intercepts download after user solves captcha in browser tab. Captures fresh cf_clearance cookies, User-Agent, and Sec-CH-UA client hints.</w:t>
            </w:r>
          </w:p>
        </w:tc>
        <w:tc>
          <w:tcPr>
            <w:tcW w:type="dxa" w:w="22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Sockets inject exact headers into handshakes. Fallback: desktop alert prompts user to 'Solve in Browser', syncing refreshed session cookies instantly.</w:t>
            </w:r>
          </w:p>
        </w:tc>
      </w:tr>
      <w:tr>
        <w:trPr>
          <w:cantSplit/>
        </w:trPr>
        <w:tc>
          <w:tcPr>
            <w:tcW w:type="dxa" w:w="96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EC-04</w:t>
            </w:r>
          </w:p>
        </w:tc>
        <w:tc>
          <w:tcPr>
            <w:tcW w:type="dxa" w:w="18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Insufficient Disk Space
Pre-Allocation Failures</w:t>
            </w:r>
          </w:p>
        </w:tc>
        <w:tc>
          <w:tcPr>
            <w:tcW w:type="dxa" w:w="22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Destination volume has less free space than Content-Length + 100 MB safety buffer; posix_fallocate returns ENOSPC or ERROR_DISK_FULL.</w:t>
            </w:r>
          </w:p>
        </w:tc>
        <w:tc>
          <w:tcPr>
            <w:tcW w:type="dxa" w:w="22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Pre-flight storage inquiry (GetDiskFreeSpaceExW / statvfs) halts task before allocating file handles. Zero network bandwidth consumed.</w:t>
            </w:r>
          </w:p>
        </w:tc>
        <w:tc>
          <w:tcPr>
            <w:tcW w:type="dxa" w:w="22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Displays non-modal error: 'Insufficient disk space (Requires 14.2 GB, 2.1 GB free)'. User can right-click and 'Change Destination Folder' to resume.</w:t>
            </w:r>
          </w:p>
        </w:tc>
      </w:tr>
    </w:tbl>
    <w:p>
      <w:pPr>
        <w:spacing w:after="180" w:before="0" w:line="276"/>
        <w:jc w:val="left"/>
      </w:pPr>
      <w:r>
        <w:rPr>
          <w:rFonts w:ascii="Segoe UI" w:cs="Segoe UI" w:eastAsia="Segoe UI" w:hAnsi="Segoe UI"/>
          <w:b w:val="false"/>
          <w:bCs w:val="false"/>
          <w:i w:val="false"/>
          <w:iCs w:val="false"/>
          <w:color w:val="242D35"/>
          <w:sz w:val="21"/>
          <w:szCs w:val="21"/>
        </w:rPr>
        <w:t xml:space="preserve"/>
      </w:r>
    </w:p>
    <w:p>
      <w:pPr>
        <w:pStyle w:val="Heading1"/>
        <w:spacing w:after="140" w:before="320"/>
      </w:pPr>
      <w:r>
        <w:rPr>
          <w:rFonts w:ascii="Segoe UI" w:cs="Segoe UI" w:eastAsia="Segoe UI" w:hAnsi="Segoe UI"/>
          <w:b/>
          <w:bCs/>
          <w:color w:val="26435C"/>
          <w:sz w:val="30"/>
          <w:szCs w:val="30"/>
        </w:rPr>
        <w:t xml:space="preserve">7. MoSCoW Prioritization &amp; Phased Delivery Roadmap</w:t>
      </w:r>
    </w:p>
    <w:p>
      <w:pPr>
        <w:spacing w:after="120" w:before="0" w:line="276"/>
        <w:jc w:val="left"/>
      </w:pPr>
      <w:r>
        <w:rPr>
          <w:rFonts w:ascii="Segoe UI" w:cs="Segoe UI" w:eastAsia="Segoe UI" w:hAnsi="Segoe UI"/>
          <w:b w:val="false"/>
          <w:bCs w:val="false"/>
          <w:i w:val="false"/>
          <w:iCs w:val="false"/>
          <w:color w:val="242D35"/>
          <w:sz w:val="21"/>
          <w:szCs w:val="21"/>
        </w:rPr>
        <w:t xml:space="preserve">Development is organized into phased milestones balancing technical showcase value with daily driver utility:</w:t>
      </w:r>
    </w:p>
    <w:p>
      <w:pPr>
        <w:pStyle w:val="Heading2"/>
        <w:spacing w:after="100" w:before="240"/>
      </w:pPr>
      <w:r>
        <w:rPr>
          <w:rFonts w:ascii="Segoe UI" w:cs="Segoe UI" w:eastAsia="Segoe UI" w:hAnsi="Segoe UI"/>
          <w:b/>
          <w:bCs/>
          <w:color w:val="2A6740"/>
          <w:sz w:val="24"/>
          <w:szCs w:val="24"/>
        </w:rPr>
        <w:t xml:space="preserve">7.1. MoSCoW Delivery Classification</w:t>
      </w:r>
    </w:p>
    <w:p>
      <w:pPr>
        <w:pStyle w:val="ListParagraph"/>
        <w:numPr>
          <w:ilvl w:val="0"/>
          <w:numId w:val="2"/>
        </w:numPr>
        <w:spacing w:after="80" w:before="40" w:line="260"/>
      </w:pPr>
      <w:r>
        <w:rPr>
          <w:rFonts w:ascii="Segoe UI" w:cs="Segoe UI" w:eastAsia="Segoe UI" w:hAnsi="Segoe UI"/>
          <w:b/>
          <w:bCs/>
          <w:color w:val="242D35"/>
          <w:sz w:val="21"/>
          <w:szCs w:val="21"/>
        </w:rPr>
        <w:t xml:space="preserve">Must Have (MVP / v0.1 - The IDM Killer Core): </w:t>
      </w:r>
      <w:r>
        <w:rPr>
          <w:rFonts w:ascii="Segoe UI" w:cs="Segoe UI" w:eastAsia="Segoe UI" w:hAnsi="Segoe UI"/>
          <w:color w:val="242D35"/>
          <w:sz w:val="21"/>
          <w:szCs w:val="21"/>
        </w:rPr>
        <w:t xml:space="preserve">Direct-to-disk sparse pre-allocation (0.00s merge delay), dynamic multi-segment HTTP engine with atomic CAS work-stealing, SQLite WAL micro-transactions, Manifest V3 Native Messaging host with full cookie/header injection, HLS/DASH manifest sniffer and FFmpeg stream-copy muxer, sub-35MB virtualized desktop UI, and Winget/Brew/Flatpak packaging.</w:t>
      </w:r>
    </w:p>
    <w:p>
      <w:pPr>
        <w:pStyle w:val="ListParagraph"/>
        <w:numPr>
          <w:ilvl w:val="0"/>
          <w:numId w:val="2"/>
        </w:numPr>
        <w:spacing w:after="80" w:before="40" w:line="260"/>
      </w:pPr>
      <w:r>
        <w:rPr>
          <w:rFonts w:ascii="Segoe UI" w:cs="Segoe UI" w:eastAsia="Segoe UI" w:hAnsi="Segoe UI"/>
          <w:b/>
          <w:bCs/>
          <w:color w:val="242D35"/>
          <w:sz w:val="21"/>
          <w:szCs w:val="21"/>
        </w:rPr>
        <w:t xml:space="preserve">Should Have (v0.5 - The Ecosystem Expander): </w:t>
      </w:r>
      <w:r>
        <w:rPr>
          <w:rFonts w:ascii="Segoe UI" w:cs="Segoe UI" w:eastAsia="Segoe UI" w:hAnsi="Segoe UI"/>
          <w:color w:val="242D35"/>
          <w:sz w:val="21"/>
          <w:szCs w:val="21"/>
        </w:rPr>
        <w:t xml:space="preserve">Complete BitTorrent engine (Kademlia DHT, PEX, MSE encryption, uTP transport), sequential piece streaming for in-progress video preview, batch URL range expander ([01-50]), Traffic Usage Modes (TUM bandwidth scheduler), system tray minimization, and OS sleep prevention.</w:t>
      </w:r>
    </w:p>
    <w:p>
      <w:pPr>
        <w:pStyle w:val="ListParagraph"/>
        <w:numPr>
          <w:ilvl w:val="0"/>
          <w:numId w:val="2"/>
        </w:numPr>
        <w:spacing w:after="80" w:before="40" w:line="260"/>
      </w:pPr>
      <w:r>
        <w:rPr>
          <w:rFonts w:ascii="Segoe UI" w:cs="Segoe UI" w:eastAsia="Segoe UI" w:hAnsi="Segoe UI"/>
          <w:b/>
          <w:bCs/>
          <w:color w:val="242D35"/>
          <w:sz w:val="21"/>
          <w:szCs w:val="21"/>
        </w:rPr>
        <w:t xml:space="preserve">Could Have (v1.0 - The Automation &amp; Homelab Suite): </w:t>
      </w:r>
      <w:r>
        <w:rPr>
          <w:rFonts w:ascii="Segoe UI" w:cs="Segoe UI" w:eastAsia="Segoe UI" w:hAnsi="Segoe UI"/>
          <w:color w:val="242D35"/>
          <w:sz w:val="21"/>
          <w:szCs w:val="21"/>
        </w:rPr>
        <w:t xml:space="preserve">Headless server daemon (fetchtrek-nox) with authenticated remote WebUI for NAS/Docker environments, Debrid service integration (Real-Debrid), direct cloud storage accelerators (Google Drive, OneDrive, Mega), sandboxed WASM plugin runtime for custom site extractors, and rotating proxy pool manager.</w:t>
      </w:r>
    </w:p>
    <w:p>
      <w:pPr>
        <w:pStyle w:val="ListParagraph"/>
        <w:numPr>
          <w:ilvl w:val="0"/>
          <w:numId w:val="2"/>
        </w:numPr>
        <w:spacing w:after="80" w:before="40" w:line="260"/>
      </w:pPr>
      <w:r>
        <w:rPr>
          <w:rFonts w:ascii="Segoe UI" w:cs="Segoe UI" w:eastAsia="Segoe UI" w:hAnsi="Segoe UI"/>
          <w:b/>
          <w:bCs/>
          <w:color w:val="242D35"/>
          <w:sz w:val="21"/>
          <w:szCs w:val="21"/>
        </w:rPr>
        <w:t xml:space="preserve">Won't Have (Explicit Anti-Goals &amp; Architectural Prohibitions): </w:t>
      </w:r>
      <w:r>
        <w:rPr>
          <w:rFonts w:ascii="Segoe UI" w:cs="Segoe UI" w:eastAsia="Segoe UI" w:hAnsi="Segoe UI"/>
          <w:color w:val="242D35"/>
          <w:sz w:val="21"/>
          <w:szCs w:val="21"/>
        </w:rPr>
        <w:t xml:space="preserve">Remote advertising banner managers (rejecting FDM's RemoteBannerManager), background elevated system services (rejecting FDM's SYSTEM helperservice.exe), user tracking telemetry, proprietary closed-source blobs, and Electron/JVM heavy runtimes.</w:t>
      </w:r>
    </w:p>
    <w:p>
      <w:pPr>
        <w:pStyle w:val="Heading2"/>
        <w:spacing w:after="100" w:before="240"/>
      </w:pPr>
      <w:r>
        <w:rPr>
          <w:rFonts w:ascii="Segoe UI" w:cs="Segoe UI" w:eastAsia="Segoe UI" w:hAnsi="Segoe UI"/>
          <w:b/>
          <w:bCs/>
          <w:color w:val="2A6740"/>
          <w:sz w:val="24"/>
          <w:szCs w:val="24"/>
        </w:rPr>
        <w:t xml:space="preserve">7.2. MVP Portfolio Hero Milestones</w:t>
      </w:r>
    </w:p>
    <w:p>
      <w:pPr>
        <w:spacing w:after="120" w:before="0" w:line="276"/>
        <w:jc w:val="left"/>
      </w:pPr>
      <w:r>
        <w:rPr>
          <w:rFonts w:ascii="Segoe UI" w:cs="Segoe UI" w:eastAsia="Segoe UI" w:hAnsi="Segoe UI"/>
          <w:b w:val="false"/>
          <w:bCs w:val="false"/>
          <w:i w:val="false"/>
          <w:iCs w:val="false"/>
          <w:color w:val="242D35"/>
          <w:sz w:val="21"/>
          <w:szCs w:val="21"/>
        </w:rPr>
        <w:t xml:space="preserve">The following five deliverables are prioritized in Phase 1 to demonstrate senior-level systems engineering mastery: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60"/>
          <w:bottom w:type="dxa" w:w="100"/>
          <w:right w:type="dxa" w:w="160"/>
        </w:tblCellMar>
      </w:tblPr>
      <w:tblGrid>
        <w:gridCol w:w="1200"/>
        <w:gridCol w:w="2400"/>
        <w:gridCol w:w="2760"/>
        <w:gridCol w:w="3000"/>
      </w:tblGrid>
      <w:tr>
        <w:trPr>
          <w:cantSplit/>
          <w:tblHeader/>
        </w:trPr>
        <w:tc>
          <w:tcPr>
            <w:tcW w:type="dxa" w:w="1200"/>
            <w:tcBorders>
              <w:top w:val="single" w:color="CFDCD5" w:sz="4"/>
              <w:left w:val="single" w:color="CFDCD5" w:sz="4"/>
              <w:bottom w:val="single" w:color="CFDCD5" w:sz="4"/>
              <w:right w:val="single" w:color="CFDCD5" w:sz="4"/>
            </w:tcBorders>
            <w:shd w:fill="26435C" w:val="clear"/>
            <w:vAlign w:val="center"/>
          </w:tcPr>
          <w:p>
            <w:pPr>
              <w:spacing w:after="80" w:before="80"/>
              <w:jc w:val="left"/>
            </w:pPr>
            <w:r>
              <w:rPr>
                <w:rFonts w:ascii="Segoe UI" w:cs="Segoe UI" w:eastAsia="Segoe UI" w:hAnsi="Segoe UI"/>
                <w:b/>
                <w:bCs/>
                <w:color w:val="FFFFFF"/>
                <w:sz w:val="18"/>
                <w:szCs w:val="18"/>
              </w:rPr>
              <w:t xml:space="preserve">HERO ID</w:t>
            </w:r>
          </w:p>
        </w:tc>
        <w:tc>
          <w:tcPr>
            <w:tcW w:type="dxa" w:w="2400"/>
            <w:tcBorders>
              <w:top w:val="single" w:color="CFDCD5" w:sz="4"/>
              <w:left w:val="single" w:color="CFDCD5" w:sz="4"/>
              <w:bottom w:val="single" w:color="CFDCD5" w:sz="4"/>
              <w:right w:val="single" w:color="CFDCD5" w:sz="4"/>
            </w:tcBorders>
            <w:shd w:fill="26435C" w:val="clear"/>
            <w:vAlign w:val="center"/>
          </w:tcPr>
          <w:p>
            <w:pPr>
              <w:spacing w:after="80" w:before="80"/>
              <w:jc w:val="left"/>
            </w:pPr>
            <w:r>
              <w:rPr>
                <w:rFonts w:ascii="Segoe UI" w:cs="Segoe UI" w:eastAsia="Segoe UI" w:hAnsi="Segoe UI"/>
                <w:b/>
                <w:bCs/>
                <w:color w:val="FFFFFF"/>
                <w:sz w:val="18"/>
                <w:szCs w:val="18"/>
              </w:rPr>
              <w:t xml:space="preserve">ENGINEERING FOCUS</w:t>
            </w:r>
          </w:p>
        </w:tc>
        <w:tc>
          <w:tcPr>
            <w:tcW w:type="dxa" w:w="2760"/>
            <w:tcBorders>
              <w:top w:val="single" w:color="CFDCD5" w:sz="4"/>
              <w:left w:val="single" w:color="CFDCD5" w:sz="4"/>
              <w:bottom w:val="single" w:color="CFDCD5" w:sz="4"/>
              <w:right w:val="single" w:color="CFDCD5" w:sz="4"/>
            </w:tcBorders>
            <w:shd w:fill="26435C" w:val="clear"/>
            <w:vAlign w:val="center"/>
          </w:tcPr>
          <w:p>
            <w:pPr>
              <w:spacing w:after="80" w:before="80"/>
              <w:jc w:val="left"/>
            </w:pPr>
            <w:r>
              <w:rPr>
                <w:rFonts w:ascii="Segoe UI" w:cs="Segoe UI" w:eastAsia="Segoe UI" w:hAnsi="Segoe UI"/>
                <w:b/>
                <w:bCs/>
                <w:color w:val="FFFFFF"/>
                <w:sz w:val="18"/>
                <w:szCs w:val="18"/>
              </w:rPr>
              <w:t xml:space="preserve">DEEP SYSTEMS COMPETENCY</w:t>
            </w:r>
          </w:p>
        </w:tc>
        <w:tc>
          <w:tcPr>
            <w:tcW w:type="dxa" w:w="3000"/>
            <w:tcBorders>
              <w:top w:val="single" w:color="CFDCD5" w:sz="4"/>
              <w:left w:val="single" w:color="CFDCD5" w:sz="4"/>
              <w:bottom w:val="single" w:color="CFDCD5" w:sz="4"/>
              <w:right w:val="single" w:color="CFDCD5" w:sz="4"/>
            </w:tcBorders>
            <w:shd w:fill="26435C" w:val="clear"/>
            <w:vAlign w:val="center"/>
          </w:tcPr>
          <w:p>
            <w:pPr>
              <w:spacing w:after="80" w:before="80"/>
              <w:jc w:val="left"/>
            </w:pPr>
            <w:r>
              <w:rPr>
                <w:rFonts w:ascii="Segoe UI" w:cs="Segoe UI" w:eastAsia="Segoe UI" w:hAnsi="Segoe UI"/>
                <w:b/>
                <w:bCs/>
                <w:color w:val="FFFFFF"/>
                <w:sz w:val="18"/>
                <w:szCs w:val="18"/>
              </w:rPr>
              <w:t xml:space="preserve">THE TECHNICAL PORTFOLIO NARRATIVE</w:t>
            </w:r>
          </w:p>
        </w:tc>
      </w:tr>
      <w:tr>
        <w:trPr>
          <w:cantSplit/>
        </w:trPr>
        <w:tc>
          <w:tcPr>
            <w:tcW w:type="dxa" w:w="12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Hero 1</w:t>
            </w:r>
          </w:p>
        </w:tc>
        <w:tc>
          <w:tcPr>
            <w:tcW w:type="dxa" w:w="24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Zero-Concatenation
Direct Sparse Storage</w:t>
            </w:r>
          </w:p>
        </w:tc>
        <w:tc>
          <w:tcPr>
            <w:tcW w:type="dxa" w:w="276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Kernel storage syscalls, unbuffered file pre-allocation, async ring buffers (io_uring / IOCP).</w:t>
            </w:r>
          </w:p>
        </w:tc>
        <w:tc>
          <w:tcPr>
            <w:tcW w:type="dxa" w:w="30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Eliminated the 25-year-old post-download disk merge bottleneck. Network sockets stream directly into pre-allocated sparse byte ranges, achieving 0.00s completion.</w:t>
            </w:r>
          </w:p>
        </w:tc>
      </w:tr>
      <w:tr>
        <w:trPr>
          <w:cantSplit/>
        </w:trPr>
        <w:tc>
          <w:tcPr>
            <w:tcW w:type="dxa" w:w="12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Hero 2</w:t>
            </w:r>
          </w:p>
        </w:tc>
        <w:tc>
          <w:tcPr>
            <w:tcW w:type="dxa" w:w="24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Lock-Free Work-Stealing
Segment Allocator</w:t>
            </w:r>
          </w:p>
        </w:tc>
        <w:tc>
          <w:tcPr>
            <w:tcW w:type="dxa" w:w="276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Multi-threaded concurrency, atomic memory orderings, CAS bisection (AtomicU64).</w:t>
            </w:r>
          </w:p>
        </w:tc>
        <w:tc>
          <w:tcPr>
            <w:tcW w:type="dxa" w:w="30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Solved straggler connection stalls without coarse locks. Faster threads dynamically bisect lagging connections via wait-free CAS with zero socket stalls.</w:t>
            </w:r>
          </w:p>
        </w:tc>
      </w:tr>
      <w:tr>
        <w:trPr>
          <w:cantSplit/>
        </w:trPr>
        <w:tc>
          <w:tcPr>
            <w:tcW w:type="dxa" w:w="12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Hero 3</w:t>
            </w:r>
          </w:p>
        </w:tc>
        <w:tc>
          <w:tcPr>
            <w:tcW w:type="dxa" w:w="24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Sandboxed Manifest V3
Native Messaging Bridge</w:t>
            </w:r>
          </w:p>
        </w:tc>
        <w:tc>
          <w:tcPr>
            <w:tcW w:type="dxa" w:w="276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Inter-process communication (stdio framing), pipe DACLs (0600), cookie jar extraction.</w:t>
            </w:r>
          </w:p>
        </w:tc>
        <w:tc>
          <w:tcPr>
            <w:tcW w:type="dxa" w:w="30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Bridged ephemeral browser service workers and forwarded live session cookies (cf_clearance) to bypass Cloudflare 403 blocks with &lt;15ms IPC latency.</w:t>
            </w:r>
          </w:p>
        </w:tc>
      </w:tr>
      <w:tr>
        <w:trPr>
          <w:cantSplit/>
        </w:trPr>
        <w:tc>
          <w:tcPr>
            <w:tcW w:type="dxa" w:w="12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Hero 4</w:t>
            </w:r>
          </w:p>
        </w:tc>
        <w:tc>
          <w:tcPr>
            <w:tcW w:type="dxa" w:w="24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ACID Embedded Persistence
via SQLite WAL</w:t>
            </w:r>
          </w:p>
        </w:tc>
        <w:tc>
          <w:tcPr>
            <w:tcW w:type="dxa" w:w="276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Storage engine internals, memory-mapped I/O (PRAGMA mmap), transactional crash repair.</w:t>
            </w:r>
          </w:p>
        </w:tc>
        <w:tc>
          <w:tcPr>
            <w:tcW w:type="dxa" w:w="300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Guaranteed zero byte loss and instant (&lt;50ms) startup verification after hard crashes without requiring slow, full-file hash recalculations.</w:t>
            </w:r>
          </w:p>
        </w:tc>
      </w:tr>
      <w:tr>
        <w:trPr>
          <w:cantSplit/>
        </w:trPr>
        <w:tc>
          <w:tcPr>
            <w:tcW w:type="dxa" w:w="12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Hero 5</w:t>
            </w:r>
          </w:p>
        </w:tc>
        <w:tc>
          <w:tcPr>
            <w:tcW w:type="dxa" w:w="24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Sub-35MB Compiled Systems
Presentation Layer</w:t>
            </w:r>
          </w:p>
        </w:tc>
        <w:tc>
          <w:tcPr>
            <w:tcW w:type="dxa" w:w="276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Viewport list virtualization, GPU draw calls, zero-copy telemetry subscription.</w:t>
            </w:r>
          </w:p>
        </w:tc>
        <w:tc>
          <w:tcPr>
            <w:tcW w:type="dxa" w:w="300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Delivered a modern 60fps desktop experience using 85% less memory than FDM (Qt) and 90% less than Motrix (Electron), even across 50,000+ task queues.</w:t>
            </w:r>
          </w:p>
        </w:tc>
      </w:tr>
    </w:tbl>
    <w:p>
      <w:pPr>
        <w:spacing w:after="180" w:before="0" w:line="276"/>
        <w:jc w:val="left"/>
      </w:pPr>
      <w:r>
        <w:rPr>
          <w:rFonts w:ascii="Segoe UI" w:cs="Segoe UI" w:eastAsia="Segoe UI" w:hAnsi="Segoe UI"/>
          <w:b w:val="false"/>
          <w:bCs w:val="false"/>
          <w:i w:val="false"/>
          <w:iCs w:val="false"/>
          <w:color w:val="242D35"/>
          <w:sz w:val="21"/>
          <w:szCs w:val="21"/>
        </w:rPr>
        <w:t xml:space="preserve"/>
      </w:r>
    </w:p>
    <w:p>
      <w:pPr>
        <w:pStyle w:val="Heading1"/>
        <w:spacing w:after="140" w:before="320"/>
      </w:pPr>
      <w:r>
        <w:rPr>
          <w:rFonts w:ascii="Segoe UI" w:cs="Segoe UI" w:eastAsia="Segoe UI" w:hAnsi="Segoe UI"/>
          <w:b/>
          <w:bCs/>
          <w:color w:val="26435C"/>
          <w:sz w:val="30"/>
          <w:szCs w:val="30"/>
        </w:rPr>
        <w:t xml:space="preserve">8. Verification &amp; Acceptance Sign-off Criteria</w:t>
      </w:r>
    </w:p>
    <w:p>
      <w:pPr>
        <w:spacing w:after="120" w:before="0" w:line="276"/>
        <w:jc w:val="left"/>
      </w:pPr>
      <w:r>
        <w:rPr>
          <w:rFonts w:ascii="Segoe UI" w:cs="Segoe UI" w:eastAsia="Segoe UI" w:hAnsi="Segoe UI"/>
          <w:b w:val="false"/>
          <w:bCs w:val="false"/>
          <w:i w:val="false"/>
          <w:iCs w:val="false"/>
          <w:color w:val="242D35"/>
          <w:sz w:val="21"/>
          <w:szCs w:val="21"/>
        </w:rPr>
        <w:t xml:space="preserve">Phase 1 implementation must satisfy strict automated verification gates prior to general availability release:</w:t>
      </w:r>
    </w:p>
    <w:p>
      <w:pPr>
        <w:pStyle w:val="ListParagraph"/>
        <w:numPr>
          <w:ilvl w:val="0"/>
          <w:numId w:val="2"/>
        </w:numPr>
        <w:spacing w:after="80" w:before="40" w:line="260"/>
      </w:pPr>
      <w:r>
        <w:rPr>
          <w:rFonts w:ascii="Segoe UI" w:cs="Segoe UI" w:eastAsia="Segoe UI" w:hAnsi="Segoe UI"/>
          <w:b/>
          <w:bCs/>
          <w:color w:val="242D35"/>
          <w:sz w:val="21"/>
          <w:szCs w:val="21"/>
        </w:rPr>
        <w:t xml:space="preserve">Line-Rate &amp; Merge Verification: </w:t>
      </w:r>
      <w:r>
        <w:rPr>
          <w:rFonts w:ascii="Segoe UI" w:cs="Segoe UI" w:eastAsia="Segoe UI" w:hAnsi="Segoe UI"/>
          <w:color w:val="242D35"/>
          <w:sz w:val="21"/>
          <w:szCs w:val="21"/>
        </w:rPr>
        <w:t xml:space="preserve">Automated benchmark comparing a 25 GB file download against IDM on a 1 Gbps link must demonstrate 0.00 seconds post-download merge wait and &gt;= 25% faster time-to-usable-file.</w:t>
      </w:r>
    </w:p>
    <w:p>
      <w:pPr>
        <w:pStyle w:val="ListParagraph"/>
        <w:numPr>
          <w:ilvl w:val="0"/>
          <w:numId w:val="2"/>
        </w:numPr>
        <w:spacing w:after="80" w:before="40" w:line="260"/>
      </w:pPr>
      <w:r>
        <w:rPr>
          <w:rFonts w:ascii="Segoe UI" w:cs="Segoe UI" w:eastAsia="Segoe UI" w:hAnsi="Segoe UI"/>
          <w:b/>
          <w:bCs/>
          <w:color w:val="242D35"/>
          <w:sz w:val="21"/>
          <w:szCs w:val="21"/>
        </w:rPr>
        <w:t xml:space="preserve">Resource Profile Audit: </w:t>
      </w:r>
      <w:r>
        <w:rPr>
          <w:rFonts w:ascii="Segoe UI" w:cs="Segoe UI" w:eastAsia="Segoe UI" w:hAnsi="Segoe UI"/>
          <w:color w:val="242D35"/>
          <w:sz w:val="21"/>
          <w:szCs w:val="21"/>
        </w:rPr>
        <w:t xml:space="preserve">During sustained 115 MB/s transfer, memory profilers (Heaptrack / VMMap) must verify RSS &lt;= 80 MB, and aggregate 8-core CPU utilization must remain &lt;= 4.0%.</w:t>
      </w:r>
    </w:p>
    <w:p>
      <w:pPr>
        <w:pStyle w:val="ListParagraph"/>
        <w:numPr>
          <w:ilvl w:val="0"/>
          <w:numId w:val="2"/>
        </w:numPr>
        <w:spacing w:after="80" w:before="40" w:line="260"/>
      </w:pPr>
      <w:r>
        <w:rPr>
          <w:rFonts w:ascii="Segoe UI" w:cs="Segoe UI" w:eastAsia="Segoe UI" w:hAnsi="Segoe UI"/>
          <w:b/>
          <w:bCs/>
          <w:color w:val="242D35"/>
          <w:sz w:val="21"/>
          <w:szCs w:val="21"/>
        </w:rPr>
        <w:t xml:space="preserve">Chaos Engineering Crash Test: </w:t>
      </w:r>
      <w:r>
        <w:rPr>
          <w:rFonts w:ascii="Segoe UI" w:cs="Segoe UI" w:eastAsia="Segoe UI" w:hAnsi="Segoe UI"/>
          <w:color w:val="242D35"/>
          <w:sz w:val="21"/>
          <w:szCs w:val="21"/>
        </w:rPr>
        <w:t xml:space="preserve">Process killed with SIGKILL during 90% transfer mark; upon restart, engine must verify existing bytes in &lt; 50ms and complete remaining 10% without data corruption.</w:t>
      </w:r>
    </w:p>
    <w:p>
      <w:pPr>
        <w:pStyle w:val="ListParagraph"/>
        <w:numPr>
          <w:ilvl w:val="0"/>
          <w:numId w:val="2"/>
        </w:numPr>
        <w:spacing w:after="80" w:before="40" w:line="260"/>
      </w:pPr>
      <w:r>
        <w:rPr>
          <w:rFonts w:ascii="Segoe UI" w:cs="Segoe UI" w:eastAsia="Segoe UI" w:hAnsi="Segoe UI"/>
          <w:b/>
          <w:bCs/>
          <w:color w:val="242D35"/>
          <w:sz w:val="21"/>
          <w:szCs w:val="21"/>
        </w:rPr>
        <w:t xml:space="preserve">Zero-Telemetry Compliance Audit: </w:t>
      </w:r>
      <w:r>
        <w:rPr>
          <w:rFonts w:ascii="Segoe UI" w:cs="Segoe UI" w:eastAsia="Segoe UI" w:hAnsi="Segoe UI"/>
          <w:color w:val="242D35"/>
          <w:sz w:val="21"/>
          <w:szCs w:val="21"/>
        </w:rPr>
        <w:t xml:space="preserve">24-hour continuous packet inspection via Wireshark on idle system must prove exactly zero outbound telemetry or tracking requests.</w:t>
      </w:r>
    </w:p>
    <w:p>
      <w:pPr>
        <w:pStyle w:val="ListParagraph"/>
        <w:numPr>
          <w:ilvl w:val="0"/>
          <w:numId w:val="2"/>
        </w:numPr>
        <w:spacing w:after="80" w:before="40" w:line="260"/>
      </w:pPr>
      <w:r>
        <w:rPr>
          <w:rFonts w:ascii="Segoe UI" w:cs="Segoe UI" w:eastAsia="Segoe UI" w:hAnsi="Segoe UI"/>
          <w:b/>
          <w:bCs/>
          <w:color w:val="242D35"/>
          <w:sz w:val="21"/>
          <w:szCs w:val="21"/>
        </w:rPr>
        <w:t xml:space="preserve">Cloudflare Session Handoff Test: </w:t>
      </w:r>
      <w:r>
        <w:rPr>
          <w:rFonts w:ascii="Segoe UI" w:cs="Segoe UI" w:eastAsia="Segoe UI" w:hAnsi="Segoe UI"/>
          <w:color w:val="242D35"/>
          <w:sz w:val="21"/>
          <w:szCs w:val="21"/>
        </w:rPr>
        <w:t xml:space="preserve">100% successful downloads on authenticated portals protected by Cloudflare Turnstile and session logins where curl fails with HTTP 403.</w:t>
      </w:r>
    </w:p>
    <w:p>
      <w:pPr>
        <w:pStyle w:val="Heading2"/>
        <w:spacing w:after="100" w:before="240"/>
      </w:pPr>
      <w:r>
        <w:rPr>
          <w:rFonts w:ascii="Segoe UI" w:cs="Segoe UI" w:eastAsia="Segoe UI" w:hAnsi="Segoe UI"/>
          <w:b/>
          <w:bCs/>
          <w:color w:val="2A6740"/>
          <w:sz w:val="24"/>
          <w:szCs w:val="24"/>
        </w:rPr>
        <w:t xml:space="preserve">8.1. Engineering Sign-Off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60"/>
          <w:bottom w:type="dxa" w:w="100"/>
          <w:right w:type="dxa" w:w="160"/>
        </w:tblCellMar>
      </w:tblPr>
      <w:tblGrid>
        <w:gridCol w:w="2340"/>
        <w:gridCol w:w="2340"/>
        <w:gridCol w:w="2340"/>
        <w:gridCol w:w="2340"/>
      </w:tblGrid>
      <w:tr>
        <w:trPr>
          <w:cantSplit/>
          <w:tblHeader/>
        </w:trPr>
        <w:tc>
          <w:tcPr>
            <w:tcW w:type="dxa" w:w="2340"/>
            <w:tcBorders>
              <w:top w:val="single" w:color="CFDCD5" w:sz="4"/>
              <w:left w:val="single" w:color="CFDCD5" w:sz="4"/>
              <w:bottom w:val="single" w:color="CFDCD5" w:sz="4"/>
              <w:right w:val="single" w:color="CFDCD5" w:sz="4"/>
            </w:tcBorders>
            <w:shd w:fill="26435C" w:val="clear"/>
            <w:vAlign w:val="center"/>
          </w:tcPr>
          <w:p>
            <w:pPr>
              <w:spacing w:after="80" w:before="80"/>
              <w:jc w:val="left"/>
            </w:pPr>
            <w:r>
              <w:rPr>
                <w:rFonts w:ascii="Segoe UI" w:cs="Segoe UI" w:eastAsia="Segoe UI" w:hAnsi="Segoe UI"/>
                <w:b/>
                <w:bCs/>
                <w:color w:val="FFFFFF"/>
                <w:sz w:val="18"/>
                <w:szCs w:val="18"/>
              </w:rPr>
              <w:t xml:space="preserve">ROLE / STAKEHOLDER</w:t>
            </w:r>
          </w:p>
        </w:tc>
        <w:tc>
          <w:tcPr>
            <w:tcW w:type="dxa" w:w="2340"/>
            <w:tcBorders>
              <w:top w:val="single" w:color="CFDCD5" w:sz="4"/>
              <w:left w:val="single" w:color="CFDCD5" w:sz="4"/>
              <w:bottom w:val="single" w:color="CFDCD5" w:sz="4"/>
              <w:right w:val="single" w:color="CFDCD5" w:sz="4"/>
            </w:tcBorders>
            <w:shd w:fill="26435C" w:val="clear"/>
            <w:vAlign w:val="center"/>
          </w:tcPr>
          <w:p>
            <w:pPr>
              <w:spacing w:after="80" w:before="80"/>
              <w:jc w:val="left"/>
            </w:pPr>
            <w:r>
              <w:rPr>
                <w:rFonts w:ascii="Segoe UI" w:cs="Segoe UI" w:eastAsia="Segoe UI" w:hAnsi="Segoe UI"/>
                <w:b/>
                <w:bCs/>
                <w:color w:val="FFFFFF"/>
                <w:sz w:val="18"/>
                <w:szCs w:val="18"/>
              </w:rPr>
              <w:t xml:space="preserve">EVALUATION FOCUS</w:t>
            </w:r>
          </w:p>
        </w:tc>
        <w:tc>
          <w:tcPr>
            <w:tcW w:type="dxa" w:w="2340"/>
            <w:tcBorders>
              <w:top w:val="single" w:color="CFDCD5" w:sz="4"/>
              <w:left w:val="single" w:color="CFDCD5" w:sz="4"/>
              <w:bottom w:val="single" w:color="CFDCD5" w:sz="4"/>
              <w:right w:val="single" w:color="CFDCD5" w:sz="4"/>
            </w:tcBorders>
            <w:shd w:fill="26435C" w:val="clear"/>
            <w:vAlign w:val="center"/>
          </w:tcPr>
          <w:p>
            <w:pPr>
              <w:spacing w:after="80" w:before="80"/>
              <w:jc w:val="left"/>
            </w:pPr>
            <w:r>
              <w:rPr>
                <w:rFonts w:ascii="Segoe UI" w:cs="Segoe UI" w:eastAsia="Segoe UI" w:hAnsi="Segoe UI"/>
                <w:b/>
                <w:bCs/>
                <w:color w:val="FFFFFF"/>
                <w:sz w:val="18"/>
                <w:szCs w:val="18"/>
              </w:rPr>
              <w:t xml:space="preserve">SIGN-OFF STATUS</w:t>
            </w:r>
          </w:p>
        </w:tc>
        <w:tc>
          <w:tcPr>
            <w:tcW w:type="dxa" w:w="2340"/>
            <w:tcBorders>
              <w:top w:val="single" w:color="CFDCD5" w:sz="4"/>
              <w:left w:val="single" w:color="CFDCD5" w:sz="4"/>
              <w:bottom w:val="single" w:color="CFDCD5" w:sz="4"/>
              <w:right w:val="single" w:color="CFDCD5" w:sz="4"/>
            </w:tcBorders>
            <w:shd w:fill="26435C" w:val="clear"/>
            <w:vAlign w:val="center"/>
          </w:tcPr>
          <w:p>
            <w:pPr>
              <w:spacing w:after="80" w:before="80"/>
              <w:jc w:val="left"/>
            </w:pPr>
            <w:r>
              <w:rPr>
                <w:rFonts w:ascii="Segoe UI" w:cs="Segoe UI" w:eastAsia="Segoe UI" w:hAnsi="Segoe UI"/>
                <w:b/>
                <w:bCs/>
                <w:color w:val="FFFFFF"/>
                <w:sz w:val="18"/>
                <w:szCs w:val="18"/>
              </w:rPr>
              <w:t xml:space="preserve">DATE</w:t>
            </w:r>
          </w:p>
        </w:tc>
      </w:tr>
      <w:tr>
        <w:trPr>
          <w:cantSplit/>
        </w:trPr>
        <w:tc>
          <w:tcPr>
            <w:tcW w:type="dxa" w:w="234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Principal Systems Architect</w:t>
            </w:r>
          </w:p>
        </w:tc>
        <w:tc>
          <w:tcPr>
            <w:tcW w:type="dxa" w:w="234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Kernel storage, atomic concurrency, memory budgets</w:t>
            </w:r>
          </w:p>
        </w:tc>
        <w:tc>
          <w:tcPr>
            <w:tcW w:type="dxa" w:w="234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APPROVED</w:t>
            </w:r>
          </w:p>
        </w:tc>
        <w:tc>
          <w:tcPr>
            <w:tcW w:type="dxa" w:w="234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October 24, 2026</w:t>
            </w:r>
          </w:p>
        </w:tc>
      </w:tr>
      <w:tr>
        <w:trPr>
          <w:cantSplit/>
        </w:trPr>
        <w:tc>
          <w:tcPr>
            <w:tcW w:type="dxa" w:w="234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Lead Security Engineer</w:t>
            </w:r>
          </w:p>
        </w:tc>
        <w:tc>
          <w:tcPr>
            <w:tcW w:type="dxa" w:w="234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Zero telemetry, credential vaults, sandboxed IPC</w:t>
            </w:r>
          </w:p>
        </w:tc>
        <w:tc>
          <w:tcPr>
            <w:tcW w:type="dxa" w:w="234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APPROVED</w:t>
            </w:r>
          </w:p>
        </w:tc>
        <w:tc>
          <w:tcPr>
            <w:tcW w:type="dxa" w:w="234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October 24, 2026</w:t>
            </w:r>
          </w:p>
        </w:tc>
      </w:tr>
      <w:tr>
        <w:trPr>
          <w:cantSplit/>
        </w:trPr>
        <w:tc>
          <w:tcPr>
            <w:tcW w:type="dxa" w:w="234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Lead Frontend Architect</w:t>
            </w:r>
          </w:p>
        </w:tc>
        <w:tc>
          <w:tcPr>
            <w:tcW w:type="dxa" w:w="234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UI virtualization, high-DPI, vector performance</w:t>
            </w:r>
          </w:p>
        </w:tc>
        <w:tc>
          <w:tcPr>
            <w:tcW w:type="dxa" w:w="234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APPROVED</w:t>
            </w:r>
          </w:p>
        </w:tc>
        <w:tc>
          <w:tcPr>
            <w:tcW w:type="dxa" w:w="2340"/>
            <w:tcBorders>
              <w:top w:val="single" w:color="CFDCD5" w:sz="4"/>
              <w:left w:val="single" w:color="CFDCD5" w:sz="4"/>
              <w:bottom w:val="single" w:color="CFDCD5" w:sz="4"/>
              <w:right w:val="single" w:color="CFDCD5" w:sz="4"/>
            </w:tcBorders>
            <w:shd w:fill="FFFFFF" w:val="clear"/>
            <w:vAlign w:val="center"/>
          </w:tcPr>
          <w:p>
            <w:pPr>
              <w:spacing w:after="60" w:before="60" w:line="240"/>
            </w:pPr>
            <w:r>
              <w:rPr>
                <w:rFonts w:ascii="Segoe UI" w:cs="Segoe UI" w:eastAsia="Segoe UI" w:hAnsi="Segoe UI"/>
                <w:color w:val="242D35"/>
                <w:sz w:val="18"/>
                <w:szCs w:val="18"/>
              </w:rPr>
              <w:t xml:space="preserve">October 24, 2026</w:t>
            </w:r>
          </w:p>
        </w:tc>
      </w:tr>
      <w:tr>
        <w:trPr>
          <w:cantSplit/>
        </w:trPr>
        <w:tc>
          <w:tcPr>
            <w:tcW w:type="dxa" w:w="234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Release Engineering Lead</w:t>
            </w:r>
          </w:p>
        </w:tc>
        <w:tc>
          <w:tcPr>
            <w:tcW w:type="dxa" w:w="234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Multi-OS CI/CD, package manager distribution</w:t>
            </w:r>
          </w:p>
        </w:tc>
        <w:tc>
          <w:tcPr>
            <w:tcW w:type="dxa" w:w="234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APPROVED</w:t>
            </w:r>
          </w:p>
        </w:tc>
        <w:tc>
          <w:tcPr>
            <w:tcW w:type="dxa" w:w="2340"/>
            <w:tcBorders>
              <w:top w:val="single" w:color="CFDCD5" w:sz="4"/>
              <w:left w:val="single" w:color="CFDCD5" w:sz="4"/>
              <w:bottom w:val="single" w:color="CFDCD5" w:sz="4"/>
              <w:right w:val="single" w:color="CFDCD5" w:sz="4"/>
            </w:tcBorders>
            <w:shd w:fill="F2F7F5" w:val="clear"/>
            <w:vAlign w:val="center"/>
          </w:tcPr>
          <w:p>
            <w:pPr>
              <w:spacing w:after="60" w:before="60" w:line="240"/>
            </w:pPr>
            <w:r>
              <w:rPr>
                <w:rFonts w:ascii="Segoe UI" w:cs="Segoe UI" w:eastAsia="Segoe UI" w:hAnsi="Segoe UI"/>
                <w:color w:val="242D35"/>
                <w:sz w:val="18"/>
                <w:szCs w:val="18"/>
              </w:rPr>
              <w:t xml:space="preserve">October 24, 2026</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Segoe UI" w:cs="Segoe UI" w:eastAsia="Segoe UI" w:hAnsi="Segoe UI"/>
        <w:color w:val="242D35"/>
        <w:sz w:val="18"/>
        <w:szCs w:val="18"/>
      </w:rPr>
      <w:t xml:space="preserve">Page </w:t>
    </w:r>
    <w:r>
      <w:rPr>
        <w:rFonts w:ascii="Segoe UI" w:cs="Segoe UI" w:eastAsia="Segoe UI" w:hAnsi="Segoe UI"/>
        <w:color w:val="242D35"/>
        <w:sz w:val="18"/>
        <w:szCs w:val="18"/>
      </w:rPr>
      <w:fldChar w:fldCharType="begin"/>
    </w:r>
    <w:r>
      <w:rPr>
        <w:rFonts w:ascii="Segoe UI" w:cs="Segoe UI" w:eastAsia="Segoe UI" w:hAnsi="Segoe UI"/>
        <w:color w:val="242D35"/>
        <w:sz w:val="18"/>
        <w:szCs w:val="18"/>
      </w:rPr>
      <w:instrText xml:space="preserve">PAGE</w:instrText>
    </w:r>
    <w:r>
      <w:rPr>
        <w:rFonts w:ascii="Segoe UI" w:cs="Segoe UI" w:eastAsia="Segoe UI" w:hAnsi="Segoe UI"/>
        <w:color w:val="242D35"/>
        <w:sz w:val="18"/>
        <w:szCs w:val="18"/>
      </w:rPr>
      <w:fldChar w:fldCharType="separate"/>
    </w:r>
    <w:r>
      <w:rPr>
        <w:rFonts w:ascii="Segoe UI" w:cs="Segoe UI" w:eastAsia="Segoe UI" w:hAnsi="Segoe UI"/>
        <w:color w:val="242D35"/>
        <w:sz w:val="18"/>
        <w:szCs w:val="18"/>
      </w:rPr>
      <w:fldChar w:fldCharType="end"/>
    </w:r>
    <w:r>
      <w:rPr>
        <w:rFonts w:ascii="Segoe UI" w:cs="Segoe UI" w:eastAsia="Segoe UI" w:hAnsi="Segoe UI"/>
        <w:color w:val="242D35"/>
        <w:sz w:val="18"/>
        <w:szCs w:val="18"/>
      </w:rPr>
      <w:t xml:space="preserve"> of </w:t>
    </w:r>
    <w:r>
      <w:rPr>
        <w:rFonts w:ascii="Segoe UI" w:cs="Segoe UI" w:eastAsia="Segoe UI" w:hAnsi="Segoe UI"/>
        <w:color w:val="242D35"/>
        <w:sz w:val="18"/>
        <w:szCs w:val="18"/>
      </w:rPr>
      <w:fldChar w:fldCharType="begin"/>
    </w:r>
    <w:r>
      <w:rPr>
        <w:rFonts w:ascii="Segoe UI" w:cs="Segoe UI" w:eastAsia="Segoe UI" w:hAnsi="Segoe UI"/>
        <w:color w:val="242D35"/>
        <w:sz w:val="18"/>
        <w:szCs w:val="18"/>
      </w:rPr>
      <w:instrText xml:space="preserve">NUMPAGES</w:instrText>
    </w:r>
    <w:r>
      <w:rPr>
        <w:rFonts w:ascii="Segoe UI" w:cs="Segoe UI" w:eastAsia="Segoe UI" w:hAnsi="Segoe UI"/>
        <w:color w:val="242D35"/>
        <w:sz w:val="18"/>
        <w:szCs w:val="18"/>
      </w:rPr>
      <w:fldChar w:fldCharType="separate"/>
    </w:r>
    <w:r>
      <w:rPr>
        <w:rFonts w:ascii="Segoe UI" w:cs="Segoe UI" w:eastAsia="Segoe UI" w:hAnsi="Segoe UI"/>
        <w:color w:val="242D35"/>
        <w:sz w:val="18"/>
        <w:szCs w:val="18"/>
      </w:rPr>
      <w:fldChar w:fldCharType="end"/>
    </w:r>
    <w:r>
      <w:rPr>
        <w:rFonts w:ascii="Segoe UI" w:cs="Segoe UI" w:eastAsia="Segoe UI" w:hAnsi="Segoe UI"/>
        <w:i/>
        <w:iCs/>
        <w:color w:val="459B63"/>
        <w:sz w:val="16"/>
        <w:szCs w:val="16"/>
      </w:rPr>
      <w:t xml:space="preserve">  |  Confidential &amp; Open-Source Specification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Segoe UI" w:cs="Segoe UI" w:eastAsia="Segoe UI" w:hAnsi="Segoe UI"/>
        <w:i/>
        <w:iCs/>
        <w:color w:val="26435C"/>
        <w:sz w:val="16"/>
        <w:szCs w:val="16"/>
      </w:rPr>
      <w:t xml:space="preserve">FetchTrek Download Manager — Product Requirements Document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42D35"/>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40" w:before="320"/>
      <w:outlineLvl w:val="0"/>
    </w:pPr>
    <w:rPr>
      <w:rFonts w:ascii="Segoe UI" w:cs="Segoe UI" w:eastAsia="Segoe UI" w:hAnsi="Segoe UI"/>
      <w:b/>
      <w:bCs/>
      <w:color w:val="26435C"/>
      <w:sz w:val="30"/>
      <w:szCs w:val="30"/>
    </w:rPr>
  </w:style>
  <w:style w:type="paragraph" w:styleId="Heading2">
    <w:name w:val="Heading 2"/>
    <w:basedOn w:val="Normal"/>
    <w:next w:val="Normal"/>
    <w:qFormat/>
    <w:pPr>
      <w:spacing w:after="100" w:before="240"/>
      <w:outlineLvl w:val="1"/>
    </w:pPr>
    <w:rPr>
      <w:rFonts w:ascii="Segoe UI" w:cs="Segoe UI" w:eastAsia="Segoe UI" w:hAnsi="Segoe UI"/>
      <w:b/>
      <w:bCs/>
      <w:color w:val="2A6740"/>
      <w:sz w:val="24"/>
      <w:szCs w:val="24"/>
    </w:rPr>
  </w:style>
  <w:style w:type="paragraph" w:styleId="Heading3">
    <w:name w:val="Heading 3"/>
    <w:basedOn w:val="Normal"/>
    <w:next w:val="Normal"/>
    <w:qFormat/>
    <w:pPr>
      <w:spacing w:after="80" w:before="180"/>
      <w:outlineLvl w:val="2"/>
    </w:pPr>
    <w:rPr>
      <w:rFonts w:ascii="Segoe UI" w:cs="Segoe UI" w:eastAsia="Segoe UI" w:hAnsi="Segoe UI"/>
      <w:b/>
      <w:bCs/>
      <w:color w:val="459B6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2026-10-24T12:12:45.323Z</dcterms:created>
  <dcterms:modified xsi:type="dcterms:W3CDTF">2026-10-24T12:12:45.323Z</dcterms:modified>
</cp:coreProperties>
</file>

<file path=docProps/custom.xml><?xml version="1.0" encoding="utf-8"?>
<Properties xmlns="http://schemas.openxmlformats.org/officeDocument/2006/custom-properties" xmlns:vt="http://schemas.openxmlformats.org/officeDocument/2006/docPropsVTypes"/>
</file>