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QuorumGate</w:t>
      </w:r>
    </w:p>
    <w:p>
      <w:pPr>
        <w:spacing w:after="120"/>
      </w:pPr>
      <w:r>
        <w:rPr>
          <w:color w:val="6E6E73"/>
          <w:sz w:val="28"/>
          <w:szCs w:val="28"/>
        </w:rPr>
        <w:t xml:space="preserve">Zero-blind-trust critical access vault</w:t>
      </w:r>
    </w:p>
    <w:p>
      <w:pPr>
        <w:pBdr>
          <w:bottom w:val="single" w:color="D2D2D7" w:sz="6" w:space="6"/>
        </w:pBdr>
        <w:spacing w:after="200"/>
      </w:pPr>
      <w:r>
        <w:rPr>
          <w:b/>
          <w:bCs/>
        </w:rPr>
        <w:t xml:space="preserve">Team: </w:t>
      </w:r>
      <w:r>
        <w:t xml:space="preserve">&lt;university&gt;_&lt;campus&gt;_&lt;team&gt;_C2</w:t>
      </w:r>
      <w:r>
        <w:t xml:space="preserve">    </w:t>
      </w:r>
      <w:r>
        <w:rPr>
          <w:b/>
          <w:bCs/>
        </w:rPr>
        <w:t xml:space="preserve">Challenge: </w:t>
      </w:r>
      <w:r>
        <w:t xml:space="preserve">RMIT Hackathon 2026 · Challenge 2 — Build Without Blind Trust</w:t>
      </w:r>
    </w:p>
    <w:p>
      <w:pPr>
        <w:pStyle w:val="Heading1"/>
        <w:spacing w:after="120" w:before="280"/>
      </w:pPr>
      <w:r>
        <w:t xml:space="preserve">1. The problem</w:t>
      </w:r>
    </w:p>
    <w:p>
      <w:pPr>
        <w:spacing w:after="120"/>
      </w:pPr>
      <w:r>
        <w:t xml:space="preserve">In most organisations an IT administrator has “God Mode”: one person can export the entire customer database or grant themselves root access to production, and nobody finds out until the data is already gone. The same is true for anyone who steals that admin’s password. Insider misuse and hijacked admin accounts are among the most damaging incidents a bank, hospital or university can suffer, because the systems are designed to trust the admin completely.</w:t>
      </w:r>
    </w:p>
    <w:p>
      <w:pPr>
        <w:pStyle w:val="Heading1"/>
        <w:spacing w:after="120" w:before="280"/>
      </w:pPr>
      <w:r>
        <w:t xml:space="preserve">2. The trust constraint</w:t>
      </w:r>
    </w:p>
    <w:p>
      <w:pPr>
        <w:spacing w:after="120"/>
      </w:pPr>
      <w:r>
        <w:rPr>
          <w:b/>
          <w:bCs/>
        </w:rPr>
        <w:t xml:space="preserve">Authority and custody. </w:t>
      </w:r>
      <w:r>
        <w:t xml:space="preserve">No single administrator should be able to approve a high-risk action on their own, and customer data should not depend on one person’s honesty.</w:t>
      </w:r>
    </w:p>
    <w:p>
      <w:pPr>
        <w:spacing w:after="120"/>
      </w:pPr>
      <w:r>
        <w:t xml:space="preserve">The usual fix is “two-person approval”, but it only works if the second approval is genuinely from a second, independent person. If the identity system itself has a master key — or one server stores every password and issues every session — then whoever controls it can impersonate the second approver and approve their own request. The approval becomes theatre.</w:t>
      </w:r>
    </w:p>
    <w:p>
      <w:pPr>
        <w:pStyle w:val="Heading1"/>
        <w:spacing w:after="120" w:before="280"/>
      </w:pPr>
      <w:r>
        <w:t xml:space="preserve">3. Our solution</w:t>
      </w:r>
    </w:p>
    <w:p>
      <w:pPr>
        <w:spacing w:after="120"/>
      </w:pPr>
      <w:r>
        <w:t xml:space="preserve">QuorumGate is an admin console where every high-risk action needs two independent admins, and the server enforces it:</w:t>
      </w:r>
    </w:p>
    <w:p>
      <w:pPr>
        <w:pStyle w:val="ListParagraph"/>
        <w:numPr>
          <w:ilvl w:val="0"/>
          <w:numId w:val="2"/>
        </w:numPr>
        <w:spacing w:after="60"/>
      </w:pPr>
      <w:r>
        <w:rPr>
          <w:b/>
          <w:bCs/>
        </w:rPr>
        <w:t xml:space="preserve">Blocked alone. </w:t>
      </w:r>
      <w:r>
        <w:t xml:space="preserve">An admin who tries to decrypt the customer ledger or self-grant root is refused (HTTP 403) and the attempt is logged.</w:t>
      </w:r>
    </w:p>
    <w:p>
      <w:pPr>
        <w:pStyle w:val="ListParagraph"/>
        <w:numPr>
          <w:ilvl w:val="0"/>
          <w:numId w:val="2"/>
        </w:numPr>
        <w:spacing w:after="60"/>
      </w:pPr>
      <w:r>
        <w:rPr>
          <w:b/>
          <w:bCs/>
        </w:rPr>
        <w:t xml:space="preserve">Request with a reason. </w:t>
      </w:r>
      <w:r>
        <w:t xml:space="preserve">The admin opens a quorum ticket with a business justification, sealed with a SHA-256 hash. The requester counts as signature 1 of 2.</w:t>
      </w:r>
    </w:p>
    <w:p>
      <w:pPr>
        <w:pStyle w:val="ListParagraph"/>
        <w:numPr>
          <w:ilvl w:val="0"/>
          <w:numId w:val="2"/>
        </w:numPr>
        <w:spacing w:after="60"/>
      </w:pPr>
      <w:r>
        <w:rPr>
          <w:b/>
          <w:bCs/>
        </w:rPr>
        <w:t xml:space="preserve">No self-approval. </w:t>
      </w:r>
      <w:r>
        <w:t xml:space="preserve">The same person cannot sign twice; the server checks identity, not anything the browser sends.</w:t>
      </w:r>
    </w:p>
    <w:p>
      <w:pPr>
        <w:pStyle w:val="ListParagraph"/>
        <w:numPr>
          <w:ilvl w:val="0"/>
          <w:numId w:val="2"/>
        </w:numPr>
        <w:spacing w:after="60"/>
      </w:pPr>
      <w:r>
        <w:rPr>
          <w:b/>
          <w:bCs/>
        </w:rPr>
        <w:t xml:space="preserve">Independent co-signature. </w:t>
      </w:r>
      <w:r>
        <w:t xml:space="preserve">A second admin, signed in separately, reviews and approves (2 of 2), or denies.</w:t>
      </w:r>
    </w:p>
    <w:p>
      <w:pPr>
        <w:pStyle w:val="ListParagraph"/>
        <w:numPr>
          <w:ilvl w:val="0"/>
          <w:numId w:val="2"/>
        </w:numPr>
        <w:spacing w:after="60"/>
      </w:pPr>
      <w:r>
        <w:rPr>
          <w:b/>
          <w:bCs/>
        </w:rPr>
        <w:t xml:space="preserve">Time-boxed, audited access. </w:t>
      </w:r>
      <w:r>
        <w:t xml:space="preserve">Only the requester sees the real data, for 10 minutes. Every attempt, signature and view is written to an audit log.</w:t>
      </w:r>
    </w:p>
    <w:p>
      <w:pPr>
        <w:spacing w:after="120"/>
      </w:pPr>
      <w:r>
        <w:t xml:space="preserve">New admins who sign up later start as “pending”: they cannot see data, approve requests or open the database. This stops anyone creating a sock-puppet second approver.</w:t>
      </w:r>
    </w:p>
    <w:p>
      <w:pPr>
        <w:pStyle w:val="Heading1"/>
        <w:spacing w:after="120" w:before="280"/>
      </w:pPr>
      <w:r>
        <w:t xml:space="preserve">4. Value and impact</w:t>
      </w:r>
    </w:p>
    <w:p>
      <w:pPr>
        <w:pStyle w:val="ListParagraph"/>
        <w:numPr>
          <w:ilvl w:val="0"/>
          <w:numId w:val="3"/>
        </w:numPr>
        <w:spacing w:after="60"/>
      </w:pPr>
      <w:r>
        <w:rPr>
          <w:b/>
          <w:bCs/>
        </w:rPr>
        <w:t xml:space="preserve">Removes the single point of failure: </w:t>
      </w:r>
      <w:r>
        <w:t xml:space="preserve">a rogue admin or a stolen admin password is no longer enough to leak customer data.</w:t>
      </w:r>
    </w:p>
    <w:p>
      <w:pPr>
        <w:pStyle w:val="ListParagraph"/>
        <w:numPr>
          <w:ilvl w:val="0"/>
          <w:numId w:val="3"/>
        </w:numPr>
        <w:spacing w:after="60"/>
      </w:pPr>
      <w:r>
        <w:rPr>
          <w:b/>
          <w:bCs/>
        </w:rPr>
        <w:t xml:space="preserve">Audit-ready by design: </w:t>
      </w:r>
      <w:r>
        <w:t xml:space="preserve">regulators and auditors get a tamper-evident record of who asked, who approved, why, and who viewed what.</w:t>
      </w:r>
    </w:p>
    <w:p>
      <w:pPr>
        <w:pStyle w:val="ListParagraph"/>
        <w:numPr>
          <w:ilvl w:val="0"/>
          <w:numId w:val="3"/>
        </w:numPr>
        <w:spacing w:after="60"/>
      </w:pPr>
      <w:r>
        <w:rPr>
          <w:b/>
          <w:bCs/>
        </w:rPr>
        <w:t xml:space="preserve">Fits real workflows: </w:t>
      </w:r>
      <w:r>
        <w:t xml:space="preserve">approvals take seconds, access is time-boxed, and routine work is not slowed down.</w:t>
      </w:r>
    </w:p>
    <w:p>
      <w:pPr>
        <w:pStyle w:val="ListParagraph"/>
        <w:numPr>
          <w:ilvl w:val="0"/>
          <w:numId w:val="3"/>
        </w:numPr>
        <w:spacing w:after="60"/>
      </w:pPr>
      <w:r>
        <w:rPr>
          <w:b/>
          <w:bCs/>
        </w:rPr>
        <w:t xml:space="preserve">Applies widely: </w:t>
      </w:r>
      <w:r>
        <w:t xml:space="preserve">banking ledgers, patient records, student records, production root access, key ceremonies.</w:t>
      </w:r>
    </w:p>
    <w:p>
      <w:pPr>
        <w:pStyle w:val="Heading1"/>
        <w:spacing w:after="120" w:before="280"/>
      </w:pPr>
      <w:r>
        <w:t xml:space="preserve">5. Why TideCloak matters</w:t>
      </w:r>
    </w:p>
    <w:p>
      <w:pPr>
        <w:spacing w:after="120"/>
      </w:pPr>
      <w:r>
        <w:t xml:space="preserve">Two-person approval is only as strong as the identity behind each signature. TideCloak is what makes the second signature impossible to fake:</w:t>
      </w:r>
    </w:p>
    <w:p>
      <w:pPr>
        <w:pStyle w:val="ListParagraph"/>
        <w:numPr>
          <w:ilvl w:val="0"/>
          <w:numId w:val="3"/>
        </w:numPr>
        <w:spacing w:after="60"/>
      </w:pPr>
      <w:r>
        <w:rPr>
          <w:b/>
          <w:bCs/>
        </w:rPr>
        <w:t xml:space="preserve">Threshold identity: </w:t>
      </w:r>
      <w:r>
        <w:t xml:space="preserve">Tide splits each identity key across a decentralised network of nodes. No server — not ours, not the identity provider’s — ever holds a whole key, so nobody can mint a login for the second admin and approve their own request.</w:t>
      </w:r>
    </w:p>
    <w:p>
      <w:pPr>
        <w:pStyle w:val="ListParagraph"/>
        <w:numPr>
          <w:ilvl w:val="0"/>
          <w:numId w:val="3"/>
        </w:numPr>
        <w:spacing w:after="60"/>
      </w:pPr>
      <w:r>
        <w:rPr>
          <w:b/>
          <w:bCs/>
        </w:rPr>
        <w:t xml:space="preserve">Device-bound sessions (DPoP): </w:t>
      </w:r>
      <w:r>
        <w:t xml:space="preserve">each token is bound to a key on the signer’s device, so a stolen token replayed from elsewhere is rejected by our server.</w:t>
      </w:r>
    </w:p>
    <w:p>
      <w:pPr>
        <w:pStyle w:val="ListParagraph"/>
        <w:numPr>
          <w:ilvl w:val="0"/>
          <w:numId w:val="3"/>
        </w:numPr>
        <w:spacing w:after="60"/>
      </w:pPr>
      <w:r>
        <w:rPr>
          <w:b/>
          <w:bCs/>
        </w:rPr>
        <w:t xml:space="preserve">Governed approver list (IGA): </w:t>
      </w:r>
      <w:r>
        <w:t xml:space="preserve">granting the quorum-approver role is itself a TideCloak change request that existing admins must approve, so the approver list cannot be quietly changed either.</w:t>
      </w:r>
    </w:p>
    <w:p>
      <w:pPr>
        <w:spacing w:after="120"/>
      </w:pPr>
      <w:r>
        <w:t xml:space="preserve">Without TideCloak, the app server becomes the last trusted party: it stores password hashes and issues sessions, so whoever controls it could still forge an approval. TideCloak removes that last piece of blind trust.</w:t>
      </w:r>
    </w:p>
    <w:p>
      <w:pPr>
        <w:pStyle w:val="Heading1"/>
        <w:spacing w:after="120" w:before="280"/>
      </w:pPr>
      <w:r>
        <w:t xml:space="preserve">6. What is real and what is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F1FD" w:color="auto" w:val="clear"/>
            <w:tcMar>
              <w:top w:type="dxa" w:w="80"/>
              <w:left w:type="dxa" w:w="120"/>
              <w:bottom w:type="dxa" w:w="80"/>
              <w:right w:type="dxa" w:w="120"/>
            </w:tcMar>
          </w:tcPr>
          <w:p>
            <w:r>
              <w:rPr>
                <w:b/>
                <w:bCs/>
                <w:sz w:val="20"/>
                <w:szCs w:val="20"/>
              </w:rPr>
              <w:t xml:space="preserve">Component</w:t>
            </w:r>
          </w:p>
        </w:tc>
        <w:tc>
          <w:tcPr>
            <w:tcW w:type="dxa" w:w="1700"/>
            <w:shd w:fill="E8F1FD" w:color="auto" w:val="clear"/>
            <w:tcMar>
              <w:top w:type="dxa" w:w="80"/>
              <w:left w:type="dxa" w:w="120"/>
              <w:bottom w:type="dxa" w:w="80"/>
              <w:right w:type="dxa" w:w="120"/>
            </w:tcMar>
          </w:tcPr>
          <w:p>
            <w:r>
              <w:rPr>
                <w:b/>
                <w:bCs/>
                <w:sz w:val="20"/>
                <w:szCs w:val="20"/>
              </w:rPr>
              <w:t xml:space="preserve">Status</w:t>
            </w:r>
          </w:p>
        </w:tc>
        <w:tc>
          <w:tcPr>
            <w:tcW w:type="dxa" w:w="4326"/>
            <w:shd w:fill="E8F1FD" w:color="auto" w:val="clear"/>
            <w:tcMar>
              <w:top w:type="dxa" w:w="80"/>
              <w:left w:type="dxa" w:w="120"/>
              <w:bottom w:type="dxa" w:w="80"/>
              <w:right w:type="dxa" w:w="120"/>
            </w:tcMar>
          </w:tcPr>
          <w:p>
            <w:r>
              <w:rPr>
                <w:b/>
                <w:bCs/>
                <w:sz w:val="20"/>
                <w:szCs w:val="20"/>
              </w:rPr>
              <w:t xml:space="preserve">Notes</w:t>
            </w:r>
          </w:p>
        </w:tc>
      </w:tr>
      <w:tr>
        <w:tc>
          <w:tcPr>
            <w:tcW w:type="dxa" w:w="3000"/>
            <w:tcMar>
              <w:top w:type="dxa" w:w="80"/>
              <w:left w:type="dxa" w:w="120"/>
              <w:bottom w:type="dxa" w:w="80"/>
              <w:right w:type="dxa" w:w="120"/>
            </w:tcMar>
          </w:tcPr>
          <w:p>
            <w:r>
              <w:rPr>
                <w:b w:val="false"/>
                <w:bCs w:val="false"/>
                <w:sz w:val="20"/>
                <w:szCs w:val="20"/>
              </w:rPr>
              <w:t xml:space="preserve">Two-person rule (two distinct admins, no self-approval, 10-minute access window)</w:t>
            </w:r>
          </w:p>
        </w:tc>
        <w:tc>
          <w:tcPr>
            <w:tcW w:type="dxa" w:w="1700"/>
            <w:tcMar>
              <w:top w:type="dxa" w:w="80"/>
              <w:left w:type="dxa" w:w="120"/>
              <w:bottom w:type="dxa" w:w="80"/>
              <w:right w:type="dxa" w:w="120"/>
            </w:tcMar>
          </w:tcPr>
          <w:p>
            <w:r>
              <w:rPr>
                <w:b w:val="false"/>
                <w:bCs w:val="false"/>
                <w:sz w:val="20"/>
                <w:szCs w:val="20"/>
              </w:rPr>
              <w:t xml:space="preserve">Real</w:t>
            </w:r>
          </w:p>
        </w:tc>
        <w:tc>
          <w:tcPr>
            <w:tcW w:type="dxa" w:w="4326"/>
            <w:tcMar>
              <w:top w:type="dxa" w:w="80"/>
              <w:left w:type="dxa" w:w="120"/>
              <w:bottom w:type="dxa" w:w="80"/>
              <w:right w:type="dxa" w:w="120"/>
            </w:tcMar>
          </w:tcPr>
          <w:p>
            <w:r>
              <w:rPr>
                <w:b w:val="false"/>
                <w:bCs w:val="false"/>
                <w:sz w:val="20"/>
                <w:szCs w:val="20"/>
              </w:rPr>
              <w:t xml:space="preserve">Enforced on the server, not in the browser.</w:t>
            </w:r>
          </w:p>
        </w:tc>
      </w:tr>
      <w:tr>
        <w:tc>
          <w:tcPr>
            <w:tcW w:type="dxa" w:w="3000"/>
            <w:tcMar>
              <w:top w:type="dxa" w:w="80"/>
              <w:left w:type="dxa" w:w="120"/>
              <w:bottom w:type="dxa" w:w="80"/>
              <w:right w:type="dxa" w:w="120"/>
            </w:tcMar>
          </w:tcPr>
          <w:p>
            <w:r>
              <w:rPr>
                <w:b w:val="false"/>
                <w:bCs w:val="false"/>
                <w:sz w:val="20"/>
                <w:szCs w:val="20"/>
              </w:rPr>
              <w:t xml:space="preserve">Ledger released only under an approved ticket</w:t>
            </w:r>
          </w:p>
        </w:tc>
        <w:tc>
          <w:tcPr>
            <w:tcW w:type="dxa" w:w="1700"/>
            <w:tcMar>
              <w:top w:type="dxa" w:w="80"/>
              <w:left w:type="dxa" w:w="120"/>
              <w:bottom w:type="dxa" w:w="80"/>
              <w:right w:type="dxa" w:w="120"/>
            </w:tcMar>
          </w:tcPr>
          <w:p>
            <w:r>
              <w:rPr>
                <w:b w:val="false"/>
                <w:bCs w:val="false"/>
                <w:sz w:val="20"/>
                <w:szCs w:val="20"/>
              </w:rPr>
              <w:t xml:space="preserve">Real</w:t>
            </w:r>
          </w:p>
        </w:tc>
        <w:tc>
          <w:tcPr>
            <w:tcW w:type="dxa" w:w="4326"/>
            <w:tcMar>
              <w:top w:type="dxa" w:w="80"/>
              <w:left w:type="dxa" w:w="120"/>
              <w:bottom w:type="dxa" w:w="80"/>
              <w:right w:type="dxa" w:w="120"/>
            </w:tcMar>
          </w:tcPr>
          <w:p>
            <w:r>
              <w:rPr>
                <w:b w:val="false"/>
                <w:bCs w:val="false"/>
                <w:sz w:val="20"/>
                <w:szCs w:val="20"/>
              </w:rPr>
              <w:t xml:space="preserve">Server-side check on every request; every view is logged.</w:t>
            </w:r>
          </w:p>
        </w:tc>
      </w:tr>
      <w:tr>
        <w:tc>
          <w:tcPr>
            <w:tcW w:type="dxa" w:w="3000"/>
            <w:tcMar>
              <w:top w:type="dxa" w:w="80"/>
              <w:left w:type="dxa" w:w="120"/>
              <w:bottom w:type="dxa" w:w="80"/>
              <w:right w:type="dxa" w:w="120"/>
            </w:tcMar>
          </w:tcPr>
          <w:p>
            <w:r>
              <w:rPr>
                <w:b w:val="false"/>
                <w:bCs w:val="false"/>
                <w:sz w:val="20"/>
                <w:szCs w:val="20"/>
              </w:rPr>
              <w:t xml:space="preserve">Admin sign-up / sign-in</w:t>
            </w:r>
          </w:p>
        </w:tc>
        <w:tc>
          <w:tcPr>
            <w:tcW w:type="dxa" w:w="1700"/>
            <w:tcMar>
              <w:top w:type="dxa" w:w="80"/>
              <w:left w:type="dxa" w:w="120"/>
              <w:bottom w:type="dxa" w:w="80"/>
              <w:right w:type="dxa" w:w="120"/>
            </w:tcMar>
          </w:tcPr>
          <w:p>
            <w:r>
              <w:rPr>
                <w:b w:val="false"/>
                <w:bCs w:val="false"/>
                <w:sz w:val="20"/>
                <w:szCs w:val="20"/>
              </w:rPr>
              <w:t xml:space="preserve">Real (stand-in)</w:t>
            </w:r>
          </w:p>
        </w:tc>
        <w:tc>
          <w:tcPr>
            <w:tcW w:type="dxa" w:w="4326"/>
            <w:tcMar>
              <w:top w:type="dxa" w:w="80"/>
              <w:left w:type="dxa" w:w="120"/>
              <w:bottom w:type="dxa" w:w="80"/>
              <w:right w:type="dxa" w:w="120"/>
            </w:tcMar>
          </w:tcPr>
          <w:p>
            <w:r>
              <w:rPr>
                <w:b w:val="false"/>
                <w:bCs w:val="false"/>
                <w:sz w:val="20"/>
                <w:szCs w:val="20"/>
              </w:rPr>
              <w:t xml:space="preserve">Salted scrypt password hashes, httpOnly session cookie. Stands in for TideCloak login.</w:t>
            </w:r>
          </w:p>
        </w:tc>
      </w:tr>
      <w:tr>
        <w:tc>
          <w:tcPr>
            <w:tcW w:type="dxa" w:w="3000"/>
            <w:tcMar>
              <w:top w:type="dxa" w:w="80"/>
              <w:left w:type="dxa" w:w="120"/>
              <w:bottom w:type="dxa" w:w="80"/>
              <w:right w:type="dxa" w:w="120"/>
            </w:tcMar>
          </w:tcPr>
          <w:p>
            <w:r>
              <w:rPr>
                <w:b w:val="false"/>
                <w:bCs w:val="false"/>
                <w:sz w:val="20"/>
                <w:szCs w:val="20"/>
              </w:rPr>
              <w:t xml:space="preserve">SQLite database: admins, sessions, tickets, signatures, audit log, customers</w:t>
            </w:r>
          </w:p>
        </w:tc>
        <w:tc>
          <w:tcPr>
            <w:tcW w:type="dxa" w:w="1700"/>
            <w:tcMar>
              <w:top w:type="dxa" w:w="80"/>
              <w:left w:type="dxa" w:w="120"/>
              <w:bottom w:type="dxa" w:w="80"/>
              <w:right w:type="dxa" w:w="120"/>
            </w:tcMar>
          </w:tcPr>
          <w:p>
            <w:r>
              <w:rPr>
                <w:b w:val="false"/>
                <w:bCs w:val="false"/>
                <w:sz w:val="20"/>
                <w:szCs w:val="20"/>
              </w:rPr>
              <w:t xml:space="preserve">Real</w:t>
            </w:r>
          </w:p>
        </w:tc>
        <w:tc>
          <w:tcPr>
            <w:tcW w:type="dxa" w:w="4326"/>
            <w:tcMar>
              <w:top w:type="dxa" w:w="80"/>
              <w:left w:type="dxa" w:w="120"/>
              <w:bottom w:type="dxa" w:w="80"/>
              <w:right w:type="dxa" w:w="120"/>
            </w:tcMar>
          </w:tcPr>
          <w:p>
            <w:r>
              <w:rPr>
                <w:b w:val="false"/>
                <w:bCs w:val="false"/>
                <w:sz w:val="20"/>
                <w:szCs w:val="20"/>
              </w:rPr>
              <w:t xml:space="preserve">Persists across restarts; viewable on the Database page.</w:t>
            </w:r>
          </w:p>
        </w:tc>
      </w:tr>
      <w:tr>
        <w:tc>
          <w:tcPr>
            <w:tcW w:type="dxa" w:w="3000"/>
            <w:tcMar>
              <w:top w:type="dxa" w:w="80"/>
              <w:left w:type="dxa" w:w="120"/>
              <w:bottom w:type="dxa" w:w="80"/>
              <w:right w:type="dxa" w:w="120"/>
            </w:tcMar>
          </w:tcPr>
          <w:p>
            <w:r>
              <w:rPr>
                <w:b w:val="false"/>
                <w:bCs w:val="false"/>
                <w:sz w:val="20"/>
                <w:szCs w:val="20"/>
              </w:rPr>
              <w:t xml:space="preserve">Customer ledger</w:t>
            </w:r>
          </w:p>
        </w:tc>
        <w:tc>
          <w:tcPr>
            <w:tcW w:type="dxa" w:w="1700"/>
            <w:tcMar>
              <w:top w:type="dxa" w:w="80"/>
              <w:left w:type="dxa" w:w="120"/>
              <w:bottom w:type="dxa" w:w="80"/>
              <w:right w:type="dxa" w:w="120"/>
            </w:tcMar>
          </w:tcPr>
          <w:p>
            <w:r>
              <w:rPr>
                <w:b w:val="false"/>
                <w:bCs w:val="false"/>
                <w:sz w:val="20"/>
                <w:szCs w:val="20"/>
              </w:rPr>
              <w:t xml:space="preserve">Sample data</w:t>
            </w:r>
          </w:p>
        </w:tc>
        <w:tc>
          <w:tcPr>
            <w:tcW w:type="dxa" w:w="4326"/>
            <w:tcMar>
              <w:top w:type="dxa" w:w="80"/>
              <w:left w:type="dxa" w:w="120"/>
              <w:bottom w:type="dxa" w:w="80"/>
              <w:right w:type="dxa" w:w="120"/>
            </w:tcMar>
          </w:tcPr>
          <w:p>
            <w:r>
              <w:rPr>
                <w:b w:val="false"/>
                <w:bCs w:val="false"/>
                <w:sz w:val="20"/>
                <w:szCs w:val="20"/>
              </w:rPr>
              <w:t xml:space="preserve">All names, IDs, card numbers and balances are fictional.</w:t>
            </w:r>
          </w:p>
        </w:tc>
      </w:tr>
      <w:tr>
        <w:tc>
          <w:tcPr>
            <w:tcW w:type="dxa" w:w="3000"/>
            <w:tcMar>
              <w:top w:type="dxa" w:w="80"/>
              <w:left w:type="dxa" w:w="120"/>
              <w:bottom w:type="dxa" w:w="80"/>
              <w:right w:type="dxa" w:w="120"/>
            </w:tcMar>
          </w:tcPr>
          <w:p>
            <w:r>
              <w:rPr>
                <w:b w:val="false"/>
                <w:bCs w:val="false"/>
                <w:sz w:val="20"/>
                <w:szCs w:val="20"/>
              </w:rPr>
              <w:t xml:space="preserve">Two demo admin accounts</w:t>
            </w:r>
          </w:p>
        </w:tc>
        <w:tc>
          <w:tcPr>
            <w:tcW w:type="dxa" w:w="1700"/>
            <w:tcMar>
              <w:top w:type="dxa" w:w="80"/>
              <w:left w:type="dxa" w:w="120"/>
              <w:bottom w:type="dxa" w:w="80"/>
              <w:right w:type="dxa" w:w="120"/>
            </w:tcMar>
          </w:tcPr>
          <w:p>
            <w:r>
              <w:rPr>
                <w:b w:val="false"/>
                <w:bCs w:val="false"/>
                <w:sz w:val="20"/>
                <w:szCs w:val="20"/>
              </w:rPr>
              <w:t xml:space="preserve">Prototype</w:t>
            </w:r>
          </w:p>
        </w:tc>
        <w:tc>
          <w:tcPr>
            <w:tcW w:type="dxa" w:w="4326"/>
            <w:tcMar>
              <w:top w:type="dxa" w:w="80"/>
              <w:left w:type="dxa" w:w="120"/>
              <w:bottom w:type="dxa" w:w="80"/>
              <w:right w:type="dxa" w:w="120"/>
            </w:tcMar>
          </w:tcPr>
          <w:p>
            <w:r>
              <w:rPr>
                <w:b w:val="false"/>
                <w:bCs w:val="false"/>
                <w:sz w:val="20"/>
                <w:szCs w:val="20"/>
              </w:rPr>
              <w:t xml:space="preserve">Fixed demo password, shown on the sign-in page for judges.</w:t>
            </w:r>
          </w:p>
        </w:tc>
      </w:tr>
      <w:tr>
        <w:tc>
          <w:tcPr>
            <w:tcW w:type="dxa" w:w="3000"/>
            <w:tcMar>
              <w:top w:type="dxa" w:w="80"/>
              <w:left w:type="dxa" w:w="120"/>
              <w:bottom w:type="dxa" w:w="80"/>
              <w:right w:type="dxa" w:w="120"/>
            </w:tcMar>
          </w:tcPr>
          <w:p>
            <w:r>
              <w:rPr>
                <w:b w:val="false"/>
                <w:bCs w:val="false"/>
                <w:sz w:val="20"/>
                <w:szCs w:val="20"/>
              </w:rPr>
              <w:t xml:space="preserve">Elevated root privileges</w:t>
            </w:r>
          </w:p>
        </w:tc>
        <w:tc>
          <w:tcPr>
            <w:tcW w:type="dxa" w:w="1700"/>
            <w:tcMar>
              <w:top w:type="dxa" w:w="80"/>
              <w:left w:type="dxa" w:w="120"/>
              <w:bottom w:type="dxa" w:w="80"/>
              <w:right w:type="dxa" w:w="120"/>
            </w:tcMar>
          </w:tcPr>
          <w:p>
            <w:r>
              <w:rPr>
                <w:b w:val="false"/>
                <w:bCs w:val="false"/>
                <w:sz w:val="20"/>
                <w:szCs w:val="20"/>
              </w:rPr>
              <w:t xml:space="preserve">Simulated outcome</w:t>
            </w:r>
          </w:p>
        </w:tc>
        <w:tc>
          <w:tcPr>
            <w:tcW w:type="dxa" w:w="4326"/>
            <w:tcMar>
              <w:top w:type="dxa" w:w="80"/>
              <w:left w:type="dxa" w:w="120"/>
              <w:bottom w:type="dxa" w:w="80"/>
              <w:right w:type="dxa" w:w="120"/>
            </w:tcMar>
          </w:tcPr>
          <w:p>
            <w:r>
              <w:rPr>
                <w:b w:val="false"/>
                <w:bCs w:val="false"/>
                <w:sz w:val="20"/>
                <w:szCs w:val="20"/>
              </w:rPr>
              <w:t xml:space="preserve">The approval flow is real; no real production system is elevated.</w:t>
            </w:r>
          </w:p>
        </w:tc>
      </w:tr>
      <w:tr>
        <w:tc>
          <w:tcPr>
            <w:tcW w:type="dxa" w:w="3000"/>
            <w:tcMar>
              <w:top w:type="dxa" w:w="80"/>
              <w:left w:type="dxa" w:w="120"/>
              <w:bottom w:type="dxa" w:w="80"/>
              <w:right w:type="dxa" w:w="120"/>
            </w:tcMar>
          </w:tcPr>
          <w:p>
            <w:r>
              <w:rPr>
                <w:b w:val="false"/>
                <w:bCs w:val="false"/>
                <w:sz w:val="20"/>
                <w:szCs w:val="20"/>
              </w:rPr>
              <w:t xml:space="preserve">TideCloak login, DPoP, IGA-governed approver role</w:t>
            </w:r>
          </w:p>
        </w:tc>
        <w:tc>
          <w:tcPr>
            <w:tcW w:type="dxa" w:w="1700"/>
            <w:tcMar>
              <w:top w:type="dxa" w:w="80"/>
              <w:left w:type="dxa" w:w="120"/>
              <w:bottom w:type="dxa" w:w="80"/>
              <w:right w:type="dxa" w:w="120"/>
            </w:tcMar>
          </w:tcPr>
          <w:p>
            <w:r>
              <w:rPr>
                <w:b w:val="false"/>
                <w:bCs w:val="false"/>
                <w:sz w:val="20"/>
                <w:szCs w:val="20"/>
              </w:rPr>
              <w:t xml:space="preserve">Built, not running</w:t>
            </w:r>
          </w:p>
        </w:tc>
        <w:tc>
          <w:tcPr>
            <w:tcW w:type="dxa" w:w="4326"/>
            <w:tcMar>
              <w:top w:type="dxa" w:w="80"/>
              <w:left w:type="dxa" w:w="120"/>
              <w:bottom w:type="dxa" w:w="80"/>
              <w:right w:type="dxa" w:w="120"/>
            </w:tcMar>
          </w:tcPr>
          <w:p>
            <w:r>
              <w:rPr>
                <w:b w:val="false"/>
                <w:bCs w:val="false"/>
                <w:sz w:val="20"/>
                <w:szCs w:val="20"/>
              </w:rPr>
              <w:t xml:space="preserve">Tide realm licensing failed on Tide's service (see section 6).</w:t>
            </w:r>
          </w:p>
        </w:tc>
      </w:tr>
    </w:tbl>
    <w:p>
      <w:pPr>
        <w:spacing w:after="120" w:before="160"/>
      </w:pPr>
      <w:r>
        <w:rPr>
          <w:b/>
          <w:bCs/>
        </w:rPr>
        <w:t xml:space="preserve">TideCloak status. </w:t>
      </w:r>
      <w:r>
        <w:t xml:space="preserve">The TideCloak integration is built: a bootstrap script creates the realm, licence, IGA, two admins and the quorum-approver role; a TideCloak login console uses DPoP; and every API route accepts a verified TideCloak token or a local session. During the hackathon, Tide’s licensing service failed realm setup with TIDE-IDPEXT-VENDOR-KEYGEN_FAILED (Midgard FinalizeWallet 500) for two different licence emails, so the prototype runs on the local stand-in login. All the quorum rules, server enforcement and database work identically with either login.</w:t>
      </w:r>
    </w:p>
    <w:p>
      <w:pPr>
        <w:pStyle w:val="Heading1"/>
        <w:spacing w:after="120" w:before="280"/>
      </w:pPr>
      <w:r>
        <w:t xml:space="preserve">7. How to run</w:t>
      </w:r>
    </w:p>
    <w:p>
      <w:pPr>
        <w:spacing w:after="120"/>
      </w:pPr>
      <w:r>
        <w:t xml:space="preserve">Requirements: Node.js 22.5 or newer. In the quorumgate folder run “npm install” then “npm run dev”, and open http://localhost:3000. Sign in as the two demo admins in two windows (one normal, one private):</w:t>
      </w:r>
    </w:p>
    <w:p>
      <w:pPr>
        <w:pStyle w:val="ListParagraph"/>
        <w:numPr>
          <w:ilvl w:val="0"/>
          <w:numId w:val="3"/>
        </w:numPr>
        <w:spacing w:after="60"/>
      </w:pPr>
      <w:r>
        <w:rPr>
          <w:b/>
          <w:bCs/>
        </w:rPr>
        <w:t xml:space="preserve">Operations Admin: </w:t>
      </w:r>
      <w:r>
        <w:t xml:space="preserve">ops.admin@quorumgate.demo / QuorumGate2026!</w:t>
      </w:r>
    </w:p>
    <w:p>
      <w:pPr>
        <w:pStyle w:val="ListParagraph"/>
        <w:numPr>
          <w:ilvl w:val="0"/>
          <w:numId w:val="3"/>
        </w:numPr>
        <w:spacing w:after="60"/>
      </w:pPr>
      <w:r>
        <w:rPr>
          <w:b/>
          <w:bCs/>
        </w:rPr>
        <w:t xml:space="preserve">Security Auditor: </w:t>
      </w:r>
      <w:r>
        <w:t xml:space="preserve">security.auditor@quorumgate.demo / QuorumGate2026!</w:t>
      </w:r>
    </w:p>
    <w:p>
      <w:pPr>
        <w:spacing w:after="120"/>
      </w:pPr>
      <w:r>
        <w:t xml:space="preserve">Full run and test instructions are in README.md in the repository.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D1D1F"/>
      <w:sz w:val="48"/>
      <w:szCs w:val="48"/>
    </w:rPr>
  </w:style>
  <w:style w:type="paragraph" w:styleId="Heading1">
    <w:name w:val="Heading 1"/>
    <w:basedOn w:val="Normal"/>
    <w:next w:val="Normal"/>
    <w:qFormat/>
    <w:pPr>
      <w:outlineLvl w:val="0"/>
    </w:pPr>
    <w:rPr>
      <w:b/>
      <w:bCs/>
      <w:color w:val="0071E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2026-10-22T07:49:43.314Z</dcterms:created>
  <dcterms:modified xsi:type="dcterms:W3CDTF">2026-10-22T07:49:43.315Z</dcterms:modified>
</cp:coreProperties>
</file>

<file path=docProps/custom.xml><?xml version="1.0" encoding="utf-8"?>
<Properties xmlns="http://schemas.openxmlformats.org/officeDocument/2006/custom-properties" xmlns:vt="http://schemas.openxmlformats.org/officeDocument/2006/docPropsVTypes"/>
</file>