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Calibri" w:cs="Calibri" w:eastAsia="Calibri" w:hAnsi="Calibri"/>
          <w:b/>
          <w:bCs/>
          <w:color w:val="0E7C7B"/>
          <w:spacing w:val="40"/>
          <w:sz w:val="24"/>
          <w:szCs w:val="24"/>
        </w:rPr>
        <w:t xml:space="preserve">CONCEPT NOTE</w:t>
      </w:r>
    </w:p>
    <w:p>
      <w:pPr>
        <w:pBdr>
          <w:bottom w:val="single" w:color="C9A66B" w:sz="12" w:space="14"/>
        </w:pBdr>
        <w:spacing w:after="60"/>
        <w:jc w:val="center"/>
      </w:pPr>
      <w:r>
        <w:rPr>
          <w:rFonts w:ascii="Calibri" w:cs="Calibri" w:eastAsia="Calibri" w:hAnsi="Calibri"/>
          <w:b/>
          <w:bCs/>
          <w:color w:val="0B3D5C"/>
          <w:sz w:val="60"/>
          <w:szCs w:val="60"/>
        </w:rPr>
        <w:t xml:space="preserve">Smart Clinic</w:t>
      </w:r>
    </w:p>
    <w:p>
      <w:pPr>
        <w:spacing w:after="260" w:before="220"/>
        <w:jc w:val="center"/>
      </w:pPr>
      <w:r>
        <w:rPr>
          <w:rFonts w:ascii="Calibri" w:cs="Calibri" w:eastAsia="Calibri" w:hAnsi="Calibri"/>
          <w:b/>
          <w:bCs/>
          <w:color w:val="0B3D5C"/>
          <w:sz w:val="34"/>
          <w:szCs w:val="34"/>
        </w:rPr>
        <w:t xml:space="preserve">Electronic Medical Record (EMR) Platform</w:t>
      </w:r>
    </w:p>
    <w:p>
      <w:pPr>
        <w:spacing w:after="700"/>
        <w:jc w:val="center"/>
      </w:pPr>
      <w:r>
        <w:rPr>
          <w:rFonts w:ascii="Calibri" w:cs="Calibri" w:eastAsia="Calibri" w:hAnsi="Calibri"/>
          <w:i/>
          <w:iCs/>
          <w:color w:val="5B6570"/>
          <w:sz w:val="24"/>
          <w:szCs w:val="24"/>
        </w:rPr>
        <w:t xml:space="preserve">A next-generation, zero-trust clinical dashboard for modernizing patient care and data security across the Afar Region</w:t>
      </w:r>
    </w:p>
    <w:p>
      <w:pPr>
        <w:spacing w:after="1400"/>
      </w:pPr>
    </w:p>
    <w:tbl>
      <w:tblPr>
        <w:tblW w:type="dxa" w:w="6200"/>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4000"/>
      </w:tblGrid>
      <w:tr>
        <w:tc>
          <w:p>
            <w:r>
              <w:rPr>
                <w:rFonts w:ascii="Calibri" w:cs="Calibri" w:eastAsia="Calibri" w:hAnsi="Calibri"/>
                <w:b/>
                <w:bCs/>
                <w:color w:val="5B6570"/>
                <w:sz w:val="21"/>
                <w:szCs w:val="21"/>
              </w:rPr>
              <w:t xml:space="preserve">Prepared by:</w:t>
            </w:r>
          </w:p>
        </w:tc>
        <w:tc>
          <w:p>
            <w:r>
              <w:rPr>
                <w:rFonts w:ascii="Calibri" w:cs="Calibri" w:eastAsia="Calibri" w:hAnsi="Calibri"/>
                <w:color w:val="1A1A1A"/>
                <w:sz w:val="21"/>
                <w:szCs w:val="21"/>
              </w:rPr>
              <w:t xml:space="preserve">codeAfar Development Team</w:t>
            </w:r>
          </w:p>
        </w:tc>
      </w:tr>
      <w:tr>
        <w:tc>
          <w:p>
            <w:r>
              <w:rPr>
                <w:rFonts w:ascii="Calibri" w:cs="Calibri" w:eastAsia="Calibri" w:hAnsi="Calibri"/>
                <w:b/>
                <w:bCs/>
                <w:color w:val="5B6570"/>
                <w:sz w:val="21"/>
                <w:szCs w:val="21"/>
              </w:rPr>
              <w:t xml:space="preserve">Prepared for:</w:t>
            </w:r>
          </w:p>
        </w:tc>
        <w:tc>
          <w:p>
            <w:r>
              <w:rPr>
                <w:rFonts w:ascii="Calibri" w:cs="Calibri" w:eastAsia="Calibri" w:hAnsi="Calibri"/>
                <w:color w:val="1A1A1A"/>
                <w:sz w:val="21"/>
                <w:szCs w:val="21"/>
              </w:rPr>
              <w:t xml:space="preserve">Regional Health Bureaus, Hospital Administrators &amp; Clinic Stakeholders — Afar Region</w:t>
            </w:r>
          </w:p>
        </w:tc>
      </w:tr>
      <w:tr>
        <w:tc>
          <w:p>
            <w:r>
              <w:rPr>
                <w:rFonts w:ascii="Calibri" w:cs="Calibri" w:eastAsia="Calibri" w:hAnsi="Calibri"/>
                <w:b/>
                <w:bCs/>
                <w:color w:val="5B6570"/>
                <w:sz w:val="21"/>
                <w:szCs w:val="21"/>
              </w:rPr>
              <w:t xml:space="preserve">Date:</w:t>
            </w:r>
          </w:p>
        </w:tc>
        <w:tc>
          <w:p>
            <w:r>
              <w:rPr>
                <w:rFonts w:ascii="Calibri" w:cs="Calibri" w:eastAsia="Calibri" w:hAnsi="Calibri"/>
                <w:color w:val="1A1A1A"/>
                <w:sz w:val="21"/>
                <w:szCs w:val="21"/>
              </w:rPr>
              <w:t xml:space="preserve">August 2026</w:t>
            </w:r>
          </w:p>
        </w:tc>
      </w:tr>
      <w:tr>
        <w:tc>
          <w:p>
            <w:r>
              <w:rPr>
                <w:rFonts w:ascii="Calibri" w:cs="Calibri" w:eastAsia="Calibri" w:hAnsi="Calibri"/>
                <w:b/>
                <w:bCs/>
                <w:color w:val="5B6570"/>
                <w:sz w:val="21"/>
                <w:szCs w:val="21"/>
              </w:rPr>
              <w:t xml:space="preserve">Status:</w:t>
            </w:r>
          </w:p>
        </w:tc>
        <w:tc>
          <w:p>
            <w:r>
              <w:rPr>
                <w:rFonts w:ascii="Calibri" w:cs="Calibri" w:eastAsia="Calibri" w:hAnsi="Calibri"/>
                <w:color w:val="1A1A1A"/>
                <w:sz w:val="21"/>
                <w:szCs w:val="21"/>
              </w:rPr>
              <w:t xml:space="preserve">Proposal — For Review &amp; Partnership Discussion</w:t>
            </w:r>
          </w:p>
        </w:tc>
      </w:tr>
    </w:tbl>
    <w:p>
      <w:r>
        <w:br w:type="page"/>
      </w:r>
    </w:p>
    <w:p>
      <w:pPr>
        <w:sectPr>
          <w:pgSz w:w="12240" w:h="15840" w:orient="portrait"/>
          <w:pgMar w:top="1000" w:right="1200" w:bottom="1000" w:left="1200" w:header="708" w:footer="708" w:gutter="0"/>
          <w:pgNumType/>
          <w:docGrid w:linePitch="360"/>
        </w:sectPr>
      </w:pPr>
    </w:p>
    <w:p>
      <w:pPr>
        <w:pStyle w:val="Heading1"/>
        <w:pBdr>
          <w:bottom w:val="single" w:color="0E7C7B" w:sz="8" w:space="6"/>
        </w:pBdr>
        <w:spacing w:after="200" w:before="420"/>
      </w:pPr>
      <w:r>
        <w:rPr>
          <w:rFonts w:ascii="Calibri" w:cs="Calibri" w:eastAsia="Calibri" w:hAnsi="Calibri"/>
          <w:b/>
          <w:bCs/>
          <w:color w:val="0B3D5C"/>
          <w:sz w:val="30"/>
          <w:szCs w:val="30"/>
        </w:rPr>
        <w:t xml:space="preserve">1. Executive Summary</w:t>
      </w:r>
    </w:p>
    <w:p>
      <w:pPr>
        <w:spacing w:after="160" w:line="288"/>
        <w:jc w:val="both"/>
      </w:pPr>
      <w:r>
        <w:rPr>
          <w:rFonts w:ascii="Calibri" w:cs="Calibri" w:eastAsia="Calibri" w:hAnsi="Calibri"/>
          <w:color w:val="1A1A1A"/>
          <w:sz w:val="22"/>
          <w:szCs w:val="22"/>
        </w:rPr>
        <w:t xml:space="preserve">The Smart Clinic Electronic Medical Record (EMR) is a modern, web-based healthcare platform designed by codeAfar to digitize and secure patient care operations across health facilities in the Afar Region. Built to replace fragmented paper-based recordkeeping and legacy administrative tools, Smart Clinic EMR gives receptionists, doctors, and system administrators a fast, role-specific dashboard for every stage of the patient journey — from intake and scheduling to clinical documentation and system oversight.</w:t>
      </w:r>
    </w:p>
    <w:p>
      <w:pPr>
        <w:spacing w:after="160" w:line="288"/>
        <w:jc w:val="both"/>
      </w:pPr>
      <w:r>
        <w:rPr>
          <w:rFonts w:ascii="Calibri" w:cs="Calibri" w:eastAsia="Calibri" w:hAnsi="Calibri"/>
          <w:color w:val="1A1A1A"/>
          <w:sz w:val="22"/>
          <w:szCs w:val="22"/>
        </w:rPr>
        <w:t xml:space="preserve">Beyond operational efficiency, Smart Clinic EMR is built around a core differentiator: it abandons static, “set-and-forget” password security in favor of a dynamic, context-aware authorization engine — the Gasha Mapper — that continuously evaluates who is accessing patient data, from where, and when. This positions Smart Clinic EMR not merely as a records system, but as a resilient digital-health infrastructure ready to protect sensitive patient information in a region where connectivity, staffing, and device conditions vary widely.</w:t>
      </w:r>
    </w:p>
    <w:p>
      <w:pPr>
        <w:spacing w:after="160" w:line="288"/>
        <w:jc w:val="both"/>
      </w:pPr>
      <w:r>
        <w:rPr>
          <w:rFonts w:ascii="Calibri" w:cs="Calibri" w:eastAsia="Calibri" w:hAnsi="Calibri"/>
          <w:color w:val="1A1A1A"/>
          <w:sz w:val="22"/>
          <w:szCs w:val="22"/>
        </w:rPr>
        <w:t xml:space="preserve">This concept note outlines the problem the platform solves, the proposed solution and its key features, and the technical architecture underpinning its security-first design. It is presented to regional health bureaus, hospital administrators, and clinic leadership as the basis for a partnership to pilot and scale Smart Clinic EMR across the region.</w:t>
      </w:r>
    </w:p>
    <w:p>
      <w:pPr>
        <w:pStyle w:val="Heading1"/>
        <w:pBdr>
          <w:bottom w:val="single" w:color="0E7C7B" w:sz="8" w:space="6"/>
        </w:pBdr>
        <w:spacing w:after="200" w:before="420"/>
      </w:pPr>
      <w:r>
        <w:rPr>
          <w:rFonts w:ascii="Calibri" w:cs="Calibri" w:eastAsia="Calibri" w:hAnsi="Calibri"/>
          <w:b/>
          <w:bCs/>
          <w:color w:val="0B3D5C"/>
          <w:sz w:val="30"/>
          <w:szCs w:val="30"/>
        </w:rPr>
        <w:t xml:space="preserve">2. Problem Statement</w:t>
      </w:r>
    </w:p>
    <w:p>
      <w:pPr>
        <w:pStyle w:val="Heading2"/>
        <w:spacing w:after="140" w:before="280"/>
      </w:pPr>
      <w:r>
        <w:rPr>
          <w:rFonts w:ascii="Calibri" w:cs="Calibri" w:eastAsia="Calibri" w:hAnsi="Calibri"/>
          <w:b/>
          <w:bCs/>
          <w:color w:val="0E7C7B"/>
          <w:sz w:val="24"/>
          <w:szCs w:val="24"/>
        </w:rPr>
        <w:t xml:space="preserve">2.1 Operational Inefficiencies</w:t>
      </w:r>
    </w:p>
    <w:p>
      <w:pPr>
        <w:spacing w:after="160" w:line="288"/>
        <w:jc w:val="both"/>
      </w:pPr>
      <w:r>
        <w:rPr>
          <w:rFonts w:ascii="Calibri" w:cs="Calibri" w:eastAsia="Calibri" w:hAnsi="Calibri"/>
          <w:color w:val="1A1A1A"/>
          <w:sz w:val="22"/>
          <w:szCs w:val="22"/>
        </w:rPr>
        <w:t xml:space="preserve">Health facilities across the Afar Region continue to rely heavily on paper-based records or legacy administrative tools that were never designed for the pace or complexity of modern clinical care. These systems create measurable friction at nearly every stage of patient care:</w:t>
      </w:r>
    </w:p>
    <w:p>
      <w:pPr>
        <w:pStyle w:val="ListParagraph"/>
        <w:numPr>
          <w:ilvl w:val="0"/>
          <w:numId w:val="2"/>
        </w:numPr>
        <w:spacing w:after="100" w:line="276"/>
      </w:pPr>
      <w:r>
        <w:rPr>
          <w:rFonts w:ascii="Calibri" w:cs="Calibri" w:eastAsia="Calibri" w:hAnsi="Calibri"/>
          <w:color w:val="1A1A1A"/>
          <w:sz w:val="22"/>
          <w:szCs w:val="22"/>
        </w:rPr>
        <w:t xml:space="preserve">Slow patient intake: Manual registration and paper charting delay service delivery and create long queues at reception, especially during peak hours.</w:t>
      </w:r>
    </w:p>
    <w:p>
      <w:pPr>
        <w:pStyle w:val="ListParagraph"/>
        <w:numPr>
          <w:ilvl w:val="0"/>
          <w:numId w:val="2"/>
        </w:numPr>
        <w:spacing w:after="100" w:line="276"/>
      </w:pPr>
      <w:r>
        <w:rPr>
          <w:rFonts w:ascii="Calibri" w:cs="Calibri" w:eastAsia="Calibri" w:hAnsi="Calibri"/>
          <w:color w:val="1A1A1A"/>
          <w:sz w:val="22"/>
          <w:szCs w:val="22"/>
        </w:rPr>
        <w:t xml:space="preserve">Poor cross-department coordination: Paper charts and disconnected spreadsheets make it difficult for receptionists, doctors, and administrators to share accurate, real-time information.</w:t>
      </w:r>
    </w:p>
    <w:p>
      <w:pPr>
        <w:pStyle w:val="ListParagraph"/>
        <w:numPr>
          <w:ilvl w:val="0"/>
          <w:numId w:val="2"/>
        </w:numPr>
        <w:spacing w:after="100" w:line="276"/>
      </w:pPr>
      <w:r>
        <w:rPr>
          <w:rFonts w:ascii="Calibri" w:cs="Calibri" w:eastAsia="Calibri" w:hAnsi="Calibri"/>
          <w:color w:val="1A1A1A"/>
          <w:sz w:val="22"/>
          <w:szCs w:val="22"/>
        </w:rPr>
        <w:t xml:space="preserve">Lost or duplicated records: Physical files are vulnerable to damage, misplacement, and duplication, undermining continuity of care across visits and facilities.</w:t>
      </w:r>
    </w:p>
    <w:p>
      <w:pPr>
        <w:pStyle w:val="ListParagraph"/>
        <w:numPr>
          <w:ilvl w:val="0"/>
          <w:numId w:val="2"/>
        </w:numPr>
        <w:spacing w:after="100" w:line="276"/>
      </w:pPr>
      <w:r>
        <w:rPr>
          <w:rFonts w:ascii="Calibri" w:cs="Calibri" w:eastAsia="Calibri" w:hAnsi="Calibri"/>
          <w:color w:val="1A1A1A"/>
          <w:sz w:val="22"/>
          <w:szCs w:val="22"/>
        </w:rPr>
        <w:t xml:space="preserve">Limited administrative visibility: Facility leadership lacks a reliable, real-time view of clinic activity, staffing gaps, or system usage — making audits and resource planning largely reactive rather than proactive.</w:t>
      </w:r>
    </w:p>
    <w:p>
      <w:pPr>
        <w:pStyle w:val="Heading2"/>
        <w:spacing w:after="140" w:before="280"/>
      </w:pPr>
      <w:r>
        <w:rPr>
          <w:rFonts w:ascii="Calibri" w:cs="Calibri" w:eastAsia="Calibri" w:hAnsi="Calibri"/>
          <w:b/>
          <w:bCs/>
          <w:color w:val="0E7C7B"/>
          <w:sz w:val="24"/>
          <w:szCs w:val="24"/>
        </w:rPr>
        <w:t xml:space="preserve">2.2 The Vulnerability of Static Security</w:t>
      </w:r>
    </w:p>
    <w:p>
      <w:pPr>
        <w:spacing w:after="160" w:line="288"/>
        <w:jc w:val="both"/>
      </w:pPr>
      <w:r>
        <w:rPr>
          <w:rFonts w:ascii="Calibri" w:cs="Calibri" w:eastAsia="Calibri" w:hAnsi="Calibri"/>
          <w:color w:val="1A1A1A"/>
          <w:sz w:val="22"/>
          <w:szCs w:val="22"/>
        </w:rPr>
        <w:t xml:space="preserve">Where digital systems do exist, they typically rely on static security models — a username and password that, once entered correctly, grant broad and unchanging access. This model carries a fundamental flaw: a password is a single, unchanging secret. Once it is compromised — through phishing, device theft, or simple reuse — the system has no further mechanism to detect that the person now logging in is not the legitimate user.</w:t>
      </w:r>
    </w:p>
    <w:p>
      <w:pPr>
        <w:spacing w:after="160" w:line="288"/>
        <w:jc w:val="both"/>
      </w:pPr>
      <w:r>
        <w:rPr>
          <w:rFonts w:ascii="Calibri" w:cs="Calibri" w:eastAsia="Calibri" w:hAnsi="Calibri"/>
          <w:color w:val="1A1A1A"/>
          <w:sz w:val="22"/>
          <w:szCs w:val="22"/>
        </w:rPr>
        <w:t xml:space="preserve">In a clinical setting, this is a critical exposure. A single compromised credential can grant an attacker the same standing privileges as a treating physician, including the ability to view or export complete patient histories, at any time, from anywhere. Static security asks one question only once — “do you know the password?” — and then stops asking. Smart Clinic EMR is built on the premise that patient-data security must instead be continuous, contextual, and adaptive.</w:t>
      </w:r>
    </w:p>
    <w:p>
      <w:pPr>
        <w:pStyle w:val="Heading1"/>
        <w:pBdr>
          <w:bottom w:val="single" w:color="0E7C7B" w:sz="8" w:space="6"/>
        </w:pBdr>
        <w:spacing w:after="200" w:before="420"/>
      </w:pPr>
      <w:r>
        <w:rPr>
          <w:rFonts w:ascii="Calibri" w:cs="Calibri" w:eastAsia="Calibri" w:hAnsi="Calibri"/>
          <w:b/>
          <w:bCs/>
          <w:color w:val="0B3D5C"/>
          <w:sz w:val="30"/>
          <w:szCs w:val="30"/>
        </w:rPr>
        <w:t xml:space="preserve">3. Proposed Solution</w:t>
      </w:r>
    </w:p>
    <w:p>
      <w:pPr>
        <w:spacing w:after="160" w:line="288"/>
        <w:jc w:val="both"/>
      </w:pPr>
      <w:r>
        <w:rPr>
          <w:rFonts w:ascii="Calibri" w:cs="Calibri" w:eastAsia="Calibri" w:hAnsi="Calibri"/>
          <w:color w:val="1A1A1A"/>
          <w:sz w:val="22"/>
          <w:szCs w:val="22"/>
        </w:rPr>
        <w:t xml:space="preserve">Smart Clinic EMR is a React-based clinical dashboard purpose-built for the workflows of Afar Region health facilities. Rather than a single generic interface, the platform is tailored to the distinct needs of each type of clinic staff member, ensuring every user sees only the tools and information relevant to their role — reducing training time, minimizing user error, and accelerating day-to-day operations.</w:t>
      </w:r>
    </w:p>
    <w:p>
      <w:pPr>
        <w:spacing w:after="160" w:line="288"/>
        <w:jc w:val="both"/>
      </w:pPr>
      <w:r>
        <w:rPr>
          <w:rFonts w:ascii="Calibri" w:cs="Calibri" w:eastAsia="Calibri" w:hAnsi="Calibri"/>
          <w:color w:val="1A1A1A"/>
          <w:sz w:val="22"/>
          <w:szCs w:val="22"/>
        </w:rPr>
        <w:t xml:space="preserve">At the core of the platform is a security architecture that moves beyond static credential checks. Every login and every subsequent action is evaluated against real-time contextual signals, allowing the system to automatically tighten or relax access based on the genuine risk of the moment — without adding friction to legitimate, everyday clinical work.</w:t>
      </w:r>
    </w:p>
    <w:p>
      <w:pPr>
        <w:pStyle w:val="Heading1"/>
        <w:pBdr>
          <w:bottom w:val="single" w:color="0E7C7B" w:sz="8" w:space="6"/>
        </w:pBdr>
        <w:spacing w:after="200" w:before="420"/>
      </w:pPr>
      <w:r>
        <w:rPr>
          <w:rFonts w:ascii="Calibri" w:cs="Calibri" w:eastAsia="Calibri" w:hAnsi="Calibri"/>
          <w:b/>
          <w:bCs/>
          <w:color w:val="0B3D5C"/>
          <w:sz w:val="30"/>
          <w:szCs w:val="30"/>
        </w:rPr>
        <w:t xml:space="preserve">4. Key Features</w:t>
      </w:r>
    </w:p>
    <w:p>
      <w:pPr>
        <w:pStyle w:val="Heading2"/>
        <w:spacing w:after="140" w:before="280"/>
      </w:pPr>
      <w:r>
        <w:rPr>
          <w:rFonts w:ascii="Calibri" w:cs="Calibri" w:eastAsia="Calibri" w:hAnsi="Calibri"/>
          <w:b/>
          <w:bCs/>
          <w:color w:val="0E7C7B"/>
          <w:sz w:val="24"/>
          <w:szCs w:val="24"/>
        </w:rPr>
        <w:t xml:space="preserve">4.1 Role-Based User Interfaces</w:t>
      </w:r>
    </w:p>
    <w:p>
      <w:pPr>
        <w:spacing w:after="160" w:line="288"/>
        <w:jc w:val="both"/>
      </w:pPr>
      <w:r>
        <w:rPr>
          <w:rFonts w:ascii="Calibri" w:cs="Calibri" w:eastAsia="Calibri" w:hAnsi="Calibri"/>
          <w:color w:val="1A1A1A"/>
          <w:sz w:val="22"/>
          <w:szCs w:val="22"/>
        </w:rPr>
        <w:t xml:space="preserve">Smart Clinic EMR provides three isolated, purpose-built dashboards, each optimized for a specific function within the clinic. Users authenticate once and are routed directly into the workspace built for their role — no irrelevant menus, no clutter, no risk of accidentally viewing tools outside their remit.</w:t>
      </w:r>
    </w:p>
    <w:tbl>
      <w:tblPr>
        <w:tblW w:type="dxa" w:w="9020"/>
        <w:tblBorders>
          <w:top w:val="single" w:color="D9E2E5" w:sz="4"/>
          <w:left w:val="single" w:color="D9E2E5" w:sz="4"/>
          <w:bottom w:val="single" w:color="D9E2E5" w:sz="4"/>
          <w:right w:val="single" w:color="D9E2E5" w:sz="4"/>
          <w:insideH w:val="single" w:color="D9E2E5" w:sz="4"/>
          <w:insideV w:val="single" w:color="D9E2E5" w:sz="4"/>
        </w:tblBorders>
      </w:tblPr>
      <w:tblGrid>
        <w:gridCol w:w="2100"/>
        <w:gridCol w:w="3300"/>
        <w:gridCol w:w="3620"/>
      </w:tblGrid>
      <w:tr>
        <w:trPr>
          <w:tblHeader/>
        </w:trPr>
        <w:tc>
          <w:tcPr>
            <w:tcW w:type="dxa" w:w="2100"/>
            <w:shd w:fill="0B3D5C" w:color="auto"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Role</w:t>
            </w:r>
          </w:p>
        </w:tc>
        <w:tc>
          <w:tcPr>
            <w:tcW w:type="dxa" w:w="3300"/>
            <w:shd w:fill="0B3D5C" w:color="auto"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Dashboard Focus</w:t>
            </w:r>
          </w:p>
        </w:tc>
        <w:tc>
          <w:tcPr>
            <w:tcW w:type="dxa" w:w="3620"/>
            <w:shd w:fill="0B3D5C" w:color="auto"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Primary Capabilities</w:t>
            </w:r>
          </w:p>
        </w:tc>
      </w:tr>
      <w:tr>
        <w:tc>
          <w:tcPr>
            <w:tcW w:type="dxa" w:w="2100"/>
            <w:shd w:fill="F2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Receptionist</w:t>
            </w:r>
          </w:p>
        </w:tc>
        <w:tc>
          <w:tcPr>
            <w:tcW w:type="dxa" w:w="330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Intake &amp; Scheduling</w:t>
            </w:r>
          </w:p>
        </w:tc>
        <w:tc>
          <w:tcPr>
            <w:tcW w:type="dxa" w:w="362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Patient registration, appointment booking, queue management, insurance/ID verification</w:t>
            </w:r>
          </w:p>
        </w:tc>
      </w:tr>
      <w:tr>
        <w:tc>
          <w:tcPr>
            <w:tcW w:type="dxa" w:w="2100"/>
            <w:shd w:fill="F2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Doctor</w:t>
            </w:r>
          </w:p>
        </w:tc>
        <w:tc>
          <w:tcPr>
            <w:tcW w:type="dxa" w:w="330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Clinical Workflows &amp; History</w:t>
            </w:r>
          </w:p>
        </w:tc>
        <w:tc>
          <w:tcPr>
            <w:tcW w:type="dxa" w:w="362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Patient history review, diagnosis and treatment notes, prescriptions, lab and referral orders</w:t>
            </w:r>
          </w:p>
        </w:tc>
      </w:tr>
      <w:tr>
        <w:tc>
          <w:tcPr>
            <w:tcW w:type="dxa" w:w="2100"/>
            <w:shd w:fill="F2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System Admin</w:t>
            </w:r>
          </w:p>
        </w:tc>
        <w:tc>
          <w:tcPr>
            <w:tcW w:type="dxa" w:w="330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Audit &amp; Provisioning</w:t>
            </w:r>
          </w:p>
        </w:tc>
        <w:tc>
          <w:tcPr>
            <w:tcW w:type="dxa" w:w="362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User account provisioning, role assignment, access-log auditing, security policy configuration</w:t>
            </w:r>
          </w:p>
        </w:tc>
      </w:tr>
    </w:tbl>
    <w:p>
      <w:pPr>
        <w:spacing w:after="220"/>
      </w:pPr>
    </w:p>
    <w:p>
      <w:pPr>
        <w:pStyle w:val="Heading2"/>
        <w:spacing w:after="140" w:before="280"/>
      </w:pPr>
      <w:r>
        <w:rPr>
          <w:rFonts w:ascii="Calibri" w:cs="Calibri" w:eastAsia="Calibri" w:hAnsi="Calibri"/>
          <w:b/>
          <w:bCs/>
          <w:color w:val="0E7C7B"/>
          <w:sz w:val="24"/>
          <w:szCs w:val="24"/>
        </w:rPr>
        <w:t xml:space="preserve">4.2 Zero-Trust Contextual Authorization — The Gasha Mapper</w:t>
      </w:r>
    </w:p>
    <w:p>
      <w:pPr>
        <w:spacing w:after="160" w:line="288"/>
        <w:jc w:val="both"/>
      </w:pPr>
      <w:r>
        <w:rPr>
          <w:rFonts w:ascii="Calibri" w:cs="Calibri" w:eastAsia="Calibri" w:hAnsi="Calibri"/>
          <w:color w:val="1A1A1A"/>
          <w:sz w:val="22"/>
          <w:szCs w:val="22"/>
        </w:rPr>
        <w:t xml:space="preserve">Smart Clinic EMR integrates with a custom, AI-driven Keycloak backend developed by codeAfar and internally named the Gasha Mapper. Rather than granting a fixed set of permissions at login and leaving them unchanged for the duration of a session, the Gasha Mapper continuously monitors the context of each login and each sensitive action — including the time of access, the originating IP address, and the approximate location — and dynamically adjusts what that session is permitted to do.</w:t>
      </w:r>
    </w:p>
    <w:p>
      <w:pPr>
        <w:spacing w:after="160" w:line="288"/>
        <w:jc w:val="both"/>
      </w:pPr>
      <w:r>
        <w:rPr>
          <w:rFonts w:ascii="Calibri" w:cs="Calibri" w:eastAsia="Calibri" w:hAnsi="Calibri"/>
          <w:color w:val="1A1A1A"/>
          <w:sz w:val="22"/>
          <w:szCs w:val="22"/>
        </w:rPr>
        <w:t xml:space="preserve">This is the essence of a zero-trust model: no login is inherently trusted simply because the correct password was supplied. Trust is instead earned and continuously re-evaluated based on behavioral and environmental context, and access is scoped to the minimum required for the situation at hand.</w:t>
      </w:r>
    </w:p>
    <w:tbl>
      <w:tblPr>
        <w:tblW w:type="dxa" w:w="9020"/>
        <w:tblBorders>
          <w:top w:val="single" w:color="C9A66B" w:sz="6"/>
          <w:left w:val="single" w:color="C9A66B" w:sz="6"/>
          <w:bottom w:val="single" w:color="C9A66B" w:sz="6"/>
          <w:right w:val="single" w:color="C9A66B" w:sz="6"/>
          <w:insideH w:val="none" w:color="FFFFFF" w:sz="0"/>
          <w:insideV w:val="none" w:color="FFFFFF" w:sz="0"/>
        </w:tblBorders>
      </w:tblPr>
      <w:tblGrid>
        <w:gridCol w:w="9020"/>
      </w:tblGrid>
      <w:tr>
        <w:tc>
          <w:tcPr>
            <w:tcW w:type="dxa" w:w="9020"/>
            <w:shd w:fill="F2F6F7" w:color="auto" w:val="clear"/>
            <w:tcMar>
              <w:top w:type="dxa" w:w="160"/>
              <w:left w:type="dxa" w:w="220"/>
              <w:bottom w:type="dxa" w:w="160"/>
              <w:right w:type="dxa" w:w="220"/>
            </w:tcMar>
          </w:tcPr>
          <w:p>
            <w:pPr>
              <w:spacing w:after="90"/>
            </w:pPr>
            <w:r>
              <w:rPr>
                <w:rFonts w:ascii="Calibri" w:cs="Calibri" w:eastAsia="Calibri" w:hAnsi="Calibri"/>
                <w:b/>
                <w:bCs/>
                <w:color w:val="0B3D5C"/>
                <w:sz w:val="21"/>
                <w:szCs w:val="21"/>
              </w:rPr>
              <w:t xml:space="preserve">Illustrative Scenario</w:t>
            </w:r>
          </w:p>
          <w:p>
            <w:pPr>
              <w:spacing w:after="60" w:line="268"/>
            </w:pPr>
            <w:r>
              <w:rPr>
                <w:rFonts w:ascii="Calibri" w:cs="Calibri" w:eastAsia="Calibri" w:hAnsi="Calibri"/>
                <w:i w:val="false"/>
                <w:iCs w:val="false"/>
                <w:color w:val="1A1A1A"/>
                <w:sz w:val="21"/>
                <w:szCs w:val="21"/>
              </w:rPr>
              <w:t xml:space="preserve">A doctor's credentials are entered correctly, but the login originates from an unrecognized IP address at 2:00 AM — well outside the doctor's typical access pattern.</w:t>
            </w:r>
          </w:p>
          <w:p>
            <w:pPr>
              <w:spacing w:after="60" w:line="268"/>
            </w:pPr>
            <w:r>
              <w:rPr>
                <w:rFonts w:ascii="Calibri" w:cs="Calibri" w:eastAsia="Calibri" w:hAnsi="Calibri"/>
                <w:i w:val="false"/>
                <w:iCs w:val="false"/>
                <w:color w:val="1A1A1A"/>
                <w:sz w:val="21"/>
                <w:szCs w:val="21"/>
              </w:rPr>
              <w:t xml:space="preserve">The Gasha Mapper detects the anomalous context and automatically re-scopes the session in real time.</w:t>
            </w:r>
          </w:p>
          <w:p>
            <w:pPr>
              <w:spacing w:after="60" w:line="268"/>
            </w:pPr>
            <w:r>
              <w:rPr>
                <w:rFonts w:ascii="Calibri" w:cs="Calibri" w:eastAsia="Calibri" w:hAnsi="Calibri"/>
                <w:i w:val="false"/>
                <w:iCs w:val="false"/>
                <w:color w:val="1A1A1A"/>
                <w:sz w:val="21"/>
                <w:szCs w:val="21"/>
              </w:rPr>
              <w:t xml:space="preserve">Bulk patient-record download privileges are immediately revoked for the session, preventing large-scale data exfiltration.</w:t>
            </w:r>
          </w:p>
          <w:p>
            <w:pPr>
              <w:spacing w:after="60" w:line="268"/>
            </w:pPr>
            <w:r>
              <w:rPr>
                <w:rFonts w:ascii="Calibri" w:cs="Calibri" w:eastAsia="Calibri" w:hAnsi="Calibri"/>
                <w:i w:val="false"/>
                <w:iCs w:val="false"/>
                <w:color w:val="1A1A1A"/>
                <w:sz w:val="21"/>
                <w:szCs w:val="21"/>
              </w:rPr>
              <w:t xml:space="preserve">Basic, read-only access to individual patient records is preserved, so legitimate urgent clinical needs are not blocked.</w:t>
            </w:r>
          </w:p>
          <w:p>
            <w:pPr>
              <w:spacing w:after="60" w:line="268"/>
            </w:pPr>
            <w:r>
              <w:rPr>
                <w:rFonts w:ascii="Calibri" w:cs="Calibri" w:eastAsia="Calibri" w:hAnsi="Calibri"/>
                <w:i w:val="false"/>
                <w:iCs w:val="false"/>
                <w:color w:val="1A1A1A"/>
                <w:sz w:val="21"/>
                <w:szCs w:val="21"/>
              </w:rPr>
              <w:t xml:space="preserve">The event is logged and flagged for administrator review, without requiring a support ticket or manual lockout.</w:t>
            </w:r>
          </w:p>
        </w:tc>
      </w:tr>
    </w:tbl>
    <w:p>
      <w:pPr>
        <w:spacing w:after="160"/>
      </w:pPr>
    </w:p>
    <w:p>
      <w:pPr>
        <w:spacing w:after="160" w:line="288"/>
        <w:jc w:val="both"/>
      </w:pPr>
      <w:r>
        <w:rPr>
          <w:rFonts w:ascii="Calibri" w:cs="Calibri" w:eastAsia="Calibri" w:hAnsi="Calibri"/>
          <w:color w:val="1A1A1A"/>
          <w:sz w:val="22"/>
          <w:szCs w:val="22"/>
        </w:rPr>
        <w:t xml:space="preserve">This approach directly addresses the core weakness of static security: it assumes that credentials alone are an insufficient signal of legitimacy, and it layers continuous, automated risk assessment on top of standard authentication — protecting patient data even when a password has already been compromised.</w:t>
      </w:r>
    </w:p>
    <w:p>
      <w:pPr>
        <w:pStyle w:val="Heading1"/>
        <w:pBdr>
          <w:bottom w:val="single" w:color="0E7C7B" w:sz="8" w:space="6"/>
        </w:pBdr>
        <w:spacing w:after="200" w:before="420"/>
      </w:pPr>
      <w:r>
        <w:rPr>
          <w:rFonts w:ascii="Calibri" w:cs="Calibri" w:eastAsia="Calibri" w:hAnsi="Calibri"/>
          <w:b/>
          <w:bCs/>
          <w:color w:val="0B3D5C"/>
          <w:sz w:val="30"/>
          <w:szCs w:val="30"/>
        </w:rPr>
        <w:t xml:space="preserve">5. Technical Architecture</w:t>
      </w:r>
    </w:p>
    <w:p>
      <w:pPr>
        <w:spacing w:after="160" w:line="288"/>
        <w:jc w:val="both"/>
      </w:pPr>
      <w:r>
        <w:rPr>
          <w:rFonts w:ascii="Calibri" w:cs="Calibri" w:eastAsia="Calibri" w:hAnsi="Calibri"/>
          <w:color w:val="1A1A1A"/>
          <w:sz w:val="22"/>
          <w:szCs w:val="22"/>
        </w:rPr>
        <w:t xml:space="preserve">Smart Clinic EMR is built on a modern, high-performance technology stack chosen to deliver responsive clinical workflows alongside enterprise-grade, adaptive security.</w:t>
      </w:r>
    </w:p>
    <w:tbl>
      <w:tblPr>
        <w:tblW w:type="dxa" w:w="9020"/>
        <w:tblBorders>
          <w:top w:val="single" w:color="D9E2E5" w:sz="4"/>
          <w:left w:val="single" w:color="D9E2E5" w:sz="4"/>
          <w:bottom w:val="single" w:color="D9E2E5" w:sz="4"/>
          <w:right w:val="single" w:color="D9E2E5" w:sz="4"/>
          <w:insideH w:val="single" w:color="D9E2E5" w:sz="4"/>
          <w:insideV w:val="single" w:color="D9E2E5" w:sz="4"/>
        </w:tblBorders>
      </w:tblPr>
      <w:tblGrid>
        <w:gridCol w:w="2600"/>
        <w:gridCol w:w="6420"/>
      </w:tblGrid>
      <w:tr>
        <w:trPr>
          <w:tblHeader/>
        </w:trPr>
        <w:tc>
          <w:tcPr>
            <w:tcW w:type="dxa" w:w="2600"/>
            <w:shd w:fill="0B3D5C" w:color="auto"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Layer</w:t>
            </w:r>
          </w:p>
        </w:tc>
        <w:tc>
          <w:tcPr>
            <w:tcW w:type="dxa" w:w="6420"/>
            <w:shd w:fill="0B3D5C" w:color="auto"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Technology &amp; Role</w:t>
            </w:r>
          </w:p>
        </w:tc>
      </w:tr>
      <w:tr>
        <w:tc>
          <w:tcPr>
            <w:tcW w:type="dxa" w:w="2600"/>
            <w:shd w:fill="F2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Frontend</w:t>
            </w:r>
          </w:p>
        </w:tc>
        <w:tc>
          <w:tcPr>
            <w:tcW w:type="dxa" w:w="642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React — delivers a high-performance, component-based dashboard with isolated views for each role and a responsive interface suited to variable device and network conditions.</w:t>
            </w:r>
          </w:p>
        </w:tc>
      </w:tr>
      <w:tr>
        <w:tc>
          <w:tcPr>
            <w:tcW w:type="dxa" w:w="2600"/>
            <w:shd w:fill="F2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Identity &amp; Access</w:t>
            </w:r>
          </w:p>
        </w:tc>
        <w:tc>
          <w:tcPr>
            <w:tcW w:type="dxa" w:w="642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Keycloak Gasha Mapper — a custom, AI-driven extension of Keycloak responsible for dynamic JWT token generation and role mapping based on real-time contextual risk signals.</w:t>
            </w:r>
          </w:p>
        </w:tc>
      </w:tr>
      <w:tr>
        <w:tc>
          <w:tcPr>
            <w:tcW w:type="dxa" w:w="2600"/>
            <w:shd w:fill="F2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Authorization Model</w:t>
            </w:r>
          </w:p>
        </w:tc>
        <w:tc>
          <w:tcPr>
            <w:tcW w:type="dxa" w:w="6420"/>
            <w:tcMar>
              <w:top w:type="dxa" w:w="120"/>
              <w:left w:type="dxa" w:w="140"/>
              <w:bottom w:type="dxa" w:w="120"/>
              <w:right w:type="dxa" w:w="140"/>
            </w:tcMar>
            <w:vAlign w:val="center"/>
          </w:tcPr>
          <w:p>
            <w:r>
              <w:rPr>
                <w:rFonts w:ascii="Calibri" w:cs="Calibri" w:eastAsia="Calibri" w:hAnsi="Calibri"/>
                <w:b w:val="false"/>
                <w:bCs w:val="false"/>
                <w:color w:val="1A1A1A"/>
                <w:sz w:val="20"/>
                <w:szCs w:val="20"/>
              </w:rPr>
              <w:t xml:space="preserve">Zero-trust, context-aware policy engine — continuously re-evaluates session risk (time, IP, location) and adjusts token scope and permissions accordingly, rather than granting static, session-long access.</w:t>
            </w:r>
          </w:p>
        </w:tc>
      </w:tr>
    </w:tbl>
    <w:p>
      <w:pPr>
        <w:spacing w:after="160"/>
      </w:pPr>
    </w:p>
    <w:p>
      <w:pPr>
        <w:spacing w:after="160" w:line="288"/>
        <w:jc w:val="both"/>
      </w:pPr>
      <w:r>
        <w:rPr>
          <w:rFonts w:ascii="Calibri" w:cs="Calibri" w:eastAsia="Calibri" w:hAnsi="Calibri"/>
          <w:color w:val="1A1A1A"/>
          <w:sz w:val="22"/>
          <w:szCs w:val="22"/>
        </w:rPr>
        <w:t xml:space="preserve">Together, these components allow Smart Clinic EMR to combine the responsiveness clinical staff need for day-to-day work with a security posture that actively adapts to protect patient data — rather than one that simply hopes credentials are never compromised.</w:t>
      </w:r>
    </w:p>
    <w:p>
      <w:pPr>
        <w:spacing w:after="200"/>
      </w:pPr>
    </w:p>
    <w:p>
      <w:pPr>
        <w:keepNext/>
        <w:pBdr>
          <w:top w:val="single" w:color="0E7C7B" w:sz="8" w:space="10"/>
        </w:pBdr>
        <w:spacing w:after="80" w:before="200"/>
      </w:pPr>
      <w:r>
        <w:rPr>
          <w:rFonts w:ascii="Calibri" w:cs="Calibri" w:eastAsia="Calibri" w:hAnsi="Calibri"/>
          <w:b/>
          <w:bCs/>
          <w:color w:val="0B3D5C"/>
          <w:sz w:val="24"/>
          <w:szCs w:val="24"/>
        </w:rPr>
        <w:t xml:space="preserve">Next Steps</w:t>
      </w:r>
    </w:p>
    <w:p>
      <w:pPr>
        <w:spacing w:after="160" w:line="288"/>
        <w:jc w:val="both"/>
      </w:pPr>
      <w:r>
        <w:rPr>
          <w:rFonts w:ascii="Calibri" w:cs="Calibri" w:eastAsia="Calibri" w:hAnsi="Calibri"/>
          <w:color w:val="1A1A1A"/>
          <w:sz w:val="22"/>
          <w:szCs w:val="22"/>
        </w:rPr>
        <w:t xml:space="preserve">codeAfar welcomes the opportunity to present a live walkthrough of Smart Clinic EMR to regional health bureau leadership and interested clinic partners, and to discuss a pilot deployment tailored to the operational needs of participating facilities.</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0"/>
        <w:sz w:val="16"/>
        <w:szCs w:val="16"/>
      </w:rPr>
      <w:t xml:space="preserve">Page </w:t>
    </w:r>
    <w:r>
      <w:rPr>
        <w:rFonts w:ascii="Calibri" w:cs="Calibri" w:eastAsia="Calibri" w:hAnsi="Calibri"/>
        <w:color w:val="5B6570"/>
        <w:sz w:val="16"/>
        <w:szCs w:val="16"/>
      </w:rPr>
      <w:fldChar w:fldCharType="begin"/>
      <w:instrText xml:space="preserve">PAGE</w:instrText>
      <w:fldChar w:fldCharType="separate"/>
      <w:fldChar w:fldCharType="end"/>
    </w:r>
    <w:r>
      <w:rPr>
        <w:rFonts w:ascii="Calibri" w:cs="Calibri" w:eastAsia="Calibri" w:hAnsi="Calibri"/>
        <w:color w:val="5B6570"/>
        <w:sz w:val="16"/>
        <w:szCs w:val="16"/>
      </w:rPr>
      <w:t xml:space="preserve"> of </w:t>
    </w:r>
    <w:r>
      <w:rPr>
        <w:rFonts w:ascii="Calibri" w:cs="Calibri" w:eastAsia="Calibri" w:hAnsi="Calibri"/>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5" w:sz="4" w:space="6"/>
      </w:pBdr>
      <w:tabs>
        <w:tab w:val="right" w:pos="9026"/>
      </w:tabs>
    </w:pPr>
    <w:r>
      <w:rPr>
        <w:rFonts w:ascii="Calibri" w:cs="Calibri" w:eastAsia="Calibri" w:hAnsi="Calibri"/>
        <w:color w:val="5B6570"/>
        <w:sz w:val="16"/>
        <w:szCs w:val="16"/>
      </w:rPr>
      <w:t xml:space="preserve">Smart Clinic EMR — Concept Note</w:t>
    </w:r>
    <w:r>
      <w:rPr>
        <w:rFonts w:ascii="Calibri" w:cs="Calibri" w:eastAsia="Calibri" w:hAnsi="Calibri"/>
        <w:color w:val="5B6570"/>
        <w:sz w:val="16"/>
        <w:szCs w:val="16"/>
      </w:rPr>
      <w:t xml:space="preserve">	codeAfar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0E7C7B"/>
      </w:rPr>
    </w:lvl>
    <w:lvl w:ilvl="1" w15:tentative="1">
      <w:start w:val="1"/>
      <w:numFmt w:val="bullet"/>
      <w:lvlText w:val="–"/>
      <w:lvlJc w:val="left"/>
      <w:pPr>
        <w:ind w:left="820" w:hanging="260"/>
      </w:pPr>
      <w:rPr>
        <w:color w:val="5B657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2026-08-08T22:51:53.073Z</dcterms:created>
  <dcterms:modified xsi:type="dcterms:W3CDTF">2026-08-08T22:51:53.073Z</dcterms:modified>
</cp:coreProperties>
</file>

<file path=docProps/custom.xml><?xml version="1.0" encoding="utf-8"?>
<Properties xmlns="http://schemas.openxmlformats.org/officeDocument/2006/custom-properties" xmlns:vt="http://schemas.openxmlformats.org/officeDocument/2006/docPropsVTypes"/>
</file>