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E7C7B"/>
          <w:spacing w:val="30"/>
          <w:sz w:val="22"/>
          <w:szCs w:val="22"/>
        </w:rPr>
        <w:t xml:space="preserve">SOFTWARE REQUIREMENTS SPECIFICATION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B6570"/>
          <w:sz w:val="20"/>
          <w:szCs w:val="20"/>
        </w:rPr>
        <w:t xml:space="preserve">(incorporating System Design Document)</w:t>
      </w:r>
    </w:p>
    <w:p>
      <w:pPr>
        <w:pBdr>
          <w:bottom w:val="single" w:color="C9A66B" w:sz="12" w:space="14"/>
        </w:pBdr>
        <w:spacing w:after="60" w:before="260"/>
        <w:jc w:val="center"/>
      </w:pPr>
      <w:r>
        <w:rPr>
          <w:rFonts w:ascii="Calibri" w:cs="Calibri" w:eastAsia="Calibri" w:hAnsi="Calibri"/>
          <w:b/>
          <w:bCs/>
          <w:color w:val="0B3D5C"/>
          <w:sz w:val="58"/>
          <w:szCs w:val="58"/>
        </w:rPr>
        <w:t xml:space="preserve">Smart Clinic EMR</w:t>
      </w:r>
    </w:p>
    <w:p>
      <w:pPr>
        <w:spacing w:after="700" w:before="220"/>
        <w:jc w:val="center"/>
      </w:pPr>
      <w:r>
        <w:rPr>
          <w:rFonts w:ascii="Calibri" w:cs="Calibri" w:eastAsia="Calibri" w:hAnsi="Calibri"/>
          <w:i/>
          <w:iCs/>
          <w:color w:val="5B6570"/>
          <w:sz w:val="24"/>
          <w:szCs w:val="24"/>
        </w:rPr>
        <w:t xml:space="preserve">Electronic Medical Record Platform — Core Application</w:t>
      </w:r>
    </w:p>
    <w:p>
      <w:pPr>
        <w:spacing w:after="1200"/>
      </w:pPr>
    </w:p>
    <w:tbl>
      <w:tblPr>
        <w:tblW w:type="dxa" w:w="6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4200"/>
      </w:tblGrid>
      <w:tr>
        <w:tc>
          <w:p>
            <w:r>
              <w:rPr>
                <w:rFonts w:ascii="Calibri" w:cs="Calibri" w:eastAsia="Calibri" w:hAnsi="Calibri"/>
                <w:b/>
                <w:bCs/>
                <w:color w:val="5B6570"/>
                <w:sz w:val="20"/>
                <w:szCs w:val="20"/>
              </w:rPr>
              <w:t xml:space="preserve">Document ID: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SCE-SRS-001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5B6570"/>
                <w:sz w:val="20"/>
                <w:szCs w:val="20"/>
              </w:rPr>
              <w:t xml:space="preserve">Developed by: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codeAfar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5B6570"/>
                <w:sz w:val="20"/>
                <w:szCs w:val="20"/>
              </w:rPr>
              <w:t xml:space="preserve">Target Deployment: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Health Organizations &amp; Clinics — Afar Region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5B6570"/>
                <w:sz w:val="20"/>
                <w:szCs w:val="20"/>
              </w:rPr>
              <w:t xml:space="preserve">Version: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5B6570"/>
                <w:sz w:val="20"/>
                <w:szCs w:val="20"/>
              </w:rPr>
              <w:t xml:space="preserve">Date: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August 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5B6570"/>
                <w:sz w:val="20"/>
                <w:szCs w:val="20"/>
              </w:rPr>
              <w:t xml:space="preserve">Classification: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Internal — Engineering &amp; Stakeholder Review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0E7C7B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1. Introduction &amp; Scope</w:t>
      </w: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1.1 Purpose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Software Requirements Specification (SRS) defines the functional and non-functional requirements for the Smart Clinic Electronic Medical Record (EMR) system, developed by codeAfar for health organizations and clinics operating in the Afar Region. This document also incorporates a System Design Document (SDD) describing the target architecture, technology stack, and infrastructure required to deliver those requirements. It is intended to serve as the authoritative, developer-ready reference for the engineering team throughout design, implementation, testing, and deployment.</w:t>
      </w: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1.2 Scope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Smart Clinic EMR is a web-based clinical operations platform covering patient intake, scheduling, clinical documentation, prescription management, and system administration. The scope of this document is limited to the core EMR application: standard, role-based access control (RBAC) using established authentication mechanisms, and the enterprise infrastructure required to run the system reliably, securely, and at scale. Experimental or context-adaptive authentication mechanisms are explicitly out of scope for this release.</w:t>
      </w: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1.3 User Roles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system defines three primary user roles, each with a distinct scope of permissions enforced at the API layer:</w:t>
      </w:r>
    </w:p>
    <w:tbl>
      <w:tblPr>
        <w:tblW w:type="dxa" w:w="902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200"/>
        <w:gridCol w:w="3800"/>
        <w:gridCol w:w="3020"/>
      </w:tblGrid>
      <w:tr>
        <w:trPr>
          <w:cantSplit/>
          <w:tblHeader/>
        </w:trPr>
        <w:tc>
          <w:tcPr>
            <w:tcW w:type="dxa" w:w="220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80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2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Access Scope</w:t>
            </w:r>
          </w:p>
        </w:tc>
      </w:tr>
      <w:tr>
        <w:trPr>
          <w:cantSplit/>
        </w:trPr>
        <w:tc>
          <w:tcPr>
            <w:tcW w:type="dxa" w:w="22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38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Front-desk staff managing patient intake and scheduling</w:t>
            </w:r>
          </w:p>
        </w:tc>
        <w:tc>
          <w:tcPr>
            <w:tcW w:type="dxa" w:w="30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Patient demographics, appointments, check-in queue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Doctor</w:t>
            </w:r>
          </w:p>
        </w:tc>
        <w:tc>
          <w:tcPr>
            <w:tcW w:type="dxa" w:w="3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Clinical staff delivering direct patient care</w:t>
            </w:r>
          </w:p>
        </w:tc>
        <w:tc>
          <w:tcPr>
            <w:tcW w:type="dxa" w:w="30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Patient clinical records, charting, prescriptions, orders</w:t>
            </w:r>
          </w:p>
        </w:tc>
      </w:tr>
      <w:tr>
        <w:trPr>
          <w:cantSplit/>
        </w:trPr>
        <w:tc>
          <w:tcPr>
            <w:tcW w:type="dxa" w:w="22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System-Admin</w:t>
            </w:r>
          </w:p>
        </w:tc>
        <w:tc>
          <w:tcPr>
            <w:tcW w:type="dxa" w:w="38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Facility/IT staff managing users and system configuration</w:t>
            </w:r>
          </w:p>
        </w:tc>
        <w:tc>
          <w:tcPr>
            <w:tcW w:type="dxa" w:w="30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User provisioning, roles, audit logs, facility configuration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1.4 Definitions &amp; Acronyms</w:t>
      </w:r>
    </w:p>
    <w:tbl>
      <w:tblPr>
        <w:tblW w:type="dxa" w:w="902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000"/>
        <w:gridCol w:w="7020"/>
      </w:tblGrid>
      <w:tr>
        <w:trPr>
          <w:cantSplit/>
          <w:tblHeader/>
        </w:trPr>
        <w:tc>
          <w:tcPr>
            <w:tcW w:type="dxa" w:w="200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02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0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EMR</w:t>
            </w:r>
          </w:p>
        </w:tc>
        <w:tc>
          <w:tcPr>
            <w:tcW w:type="dxa" w:w="70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Electronic Medical Record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RBAC</w:t>
            </w:r>
          </w:p>
        </w:tc>
        <w:tc>
          <w:tcPr>
            <w:tcW w:type="dxa" w:w="70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Role-Based Access Control</w:t>
            </w:r>
          </w:p>
        </w:tc>
      </w:tr>
      <w:tr>
        <w:trPr>
          <w:cantSplit/>
        </w:trPr>
        <w:tc>
          <w:tcPr>
            <w:tcW w:type="dxa" w:w="20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API</w:t>
            </w:r>
          </w:p>
        </w:tc>
        <w:tc>
          <w:tcPr>
            <w:tcW w:type="dxa" w:w="70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Application Programming Interface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REQ / NFR</w:t>
            </w:r>
          </w:p>
        </w:tc>
        <w:tc>
          <w:tcPr>
            <w:tcW w:type="dxa" w:w="70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Functional Requirement / Non-Functional Requirement identifier</w:t>
            </w:r>
          </w:p>
        </w:tc>
      </w:tr>
      <w:tr>
        <w:trPr>
          <w:cantSplit/>
        </w:trPr>
        <w:tc>
          <w:tcPr>
            <w:tcW w:type="dxa" w:w="20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JWT</w:t>
            </w:r>
          </w:p>
        </w:tc>
        <w:tc>
          <w:tcPr>
            <w:tcW w:type="dxa" w:w="70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JSON Web Token — used for stateless session authentication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HA</w:t>
            </w:r>
          </w:p>
        </w:tc>
        <w:tc>
          <w:tcPr>
            <w:tcW w:type="dxa" w:w="70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High Availability</w:t>
            </w:r>
          </w:p>
        </w:tc>
      </w:tr>
      <w:tr>
        <w:trPr>
          <w:cantSplit/>
        </w:trPr>
        <w:tc>
          <w:tcPr>
            <w:tcW w:type="dxa" w:w="20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RPO / RTO</w:t>
            </w:r>
          </w:p>
        </w:tc>
        <w:tc>
          <w:tcPr>
            <w:tcW w:type="dxa" w:w="70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Recovery Point Objective / Recovery Time Objective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CI/CD</w:t>
            </w:r>
          </w:p>
        </w:tc>
        <w:tc>
          <w:tcPr>
            <w:tcW w:type="dxa" w:w="70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Continuous Integration / Continuous Deployment</w:t>
            </w:r>
          </w:p>
        </w:tc>
      </w:tr>
    </w:tbl>
    <w:p>
      <w:pPr>
        <w:pStyle w:val="Heading1"/>
        <w:keepNext/>
        <w:pBdr>
          <w:bottom w:val="single" w:color="0E7C7B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2. Functional Requirements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Functional requirements are grouped by user role. Each requirement is uniquely identified for traceability into design, test cases, and release notes.</w:t>
      </w: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2.1 Receptionist Capabilities</w:t>
      </w: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REQ-01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Patient Registration &amp; Intake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Receptionist to register a new patient by capturing demographics, contact details, next-of-kin, and insurance/payer information, and to generate a unique patient identifier.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REQ-02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Appointment Scheduling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Receptionist to create, reschedule, and cancel appointments against provider availability, with a calendar/day view of scheduled visits per clinic.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REQ-03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Patient Search &amp; Lookup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Receptionist to search for existing patients by patient ID, name, phone number, or date of birth, returning results within the performance targets defined in Section 3.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REQ-04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Check-In &amp; Queue Management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Receptionist to check in an arriving patient against a scheduled or walk-in visit and shall maintain a real-time queue/status board visible to relevant staff.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REQ-05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Demographic &amp; Insurance Updates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Receptionist to update a patient's contact information and insurance details, with all changes captured in the audit trail (REQ-18).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2.2 Doctor Capabilities</w:t>
      </w: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REQ-06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Patient Clinical History Access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Doctor to view a patient's complete clinical history, including prior visits, diagnoses, allergies, and active medications, scoped to patients under the clinic's care.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REQ-07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Clinical Charting / Encounter Notes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Doctor to create and edit structured encounter notes (e.g., SOAP format) tied to a specific patient visit, with version history retained for each note.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REQ-08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Prescription Logging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Doctor to create electronic prescriptions against a patient's record, capturing medication, dosage, frequency, and duration, and shall surface known drug-allergy conflicts at the point of entry.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REQ-09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Lab &amp; Referral Orders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Doctor to place laboratory test orders and specialist referrals against a patient's record and to view associated results or referral status once available.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REQ-10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Diagnosis Coding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Doctor to record one or more diagnoses per encounter using a standardized coding scheme (e.g., ICD-10) to support reporting and continuity of care.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2.3 System-Admin Capabilities</w:t>
      </w: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REQ-11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User Account Provisioning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System-Admin to create, deactivate, and reactivate staff user accounts and to reset credentials in accordance with the organization's security policy.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REQ-12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Role &amp; Permission Management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System-Admin to assign and modify a user's role (Receptionist, Doctor, System-Admin) and shall enforce that role changes take effect on the user's next authenticated request.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REQ-13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System Audit Log Review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System-Admin to search and review audit logs of security-relevant and patient-data-relevant events, filterable by user, date range, and action type.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REQ-14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Facility &amp; Clinic Configuration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System-Admin to configure facility-level metadata, including departments, provider lists, and operating hours used by the scheduling module.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REQ-15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Backup &amp; Export Oversight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allow a System-Admin to view the status and history of automated data backups and to initiate an authorized data export for regulatory or migration purposes.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2.4 Cross-Cutting Requirements</w:t>
      </w: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REQ-16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Authentication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authenticate all users via username and password over an encrypted channel and shall issue a signed, short-lived session token (JWT) upon successful login.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REQ-17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Role-Based Access Enforcement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enforce role-based access control on every API endpoint using a deny-by-default authorization policy, independent of any client-side role checks.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REQ-18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Immutable Audit Trail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record an immutable audit entry for every create, update, and delete operation performed on patient data, capturing the acting user, timestamp, and action performed.</w:t>
            </w:r>
          </w:p>
        </w:tc>
      </w:tr>
    </w:tbl>
    <w:p>
      <w:pPr>
        <w:pStyle w:val="Heading1"/>
        <w:keepNext/>
        <w:pBdr>
          <w:bottom w:val="single" w:color="0E7C7B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3. Non-Functional Requirements (NFRs)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Non-functional requirements define the quality attributes the system must meet in production, independent of specific features.</w:t>
      </w: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3.1 Performance</w:t>
      </w: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NFR-01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API Response Time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95th-percentile (p95) response time for standard read/write API operations shall not exceed 300ms under normal load conditions.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NFR-02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Dashboard Load Time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Initial dashboard load shall complete within 2 seconds on a representative 3G-equivalent connection, reflecting variable connectivity across the Afar Region.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NFR-03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Concurrent Session Capacity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Each clinic deployment shall support at least 500 concurrent active user sessions without measurable degradation of NFR-01 targets.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3.2 Reliability &amp; Availability</w:t>
      </w: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NFR-04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Uptime SLA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production system shall maintain a minimum of 99.9% monthly uptime (approximately 8.76 hours of permissible downtime per year).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NFR-05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Zero-Downtime Deployment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Application deployments shall use rolling updates such that no user-facing downtime occurs during a routine release.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NFR-06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Disaster Recovery Targets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system shall maintain a Recovery Point Objective (RPO) of 15 minutes or less and a Recovery Time Objective (RTO) of 1 hour or less for the primary data store.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3.3 Baseline Security</w:t>
      </w: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NFR-07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Transport Encryption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All client-server and service-to-service communication shall be encrypted using TLS 1.2 or higher; unencrypted HTTP shall be disallowed in production.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NFR-08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Server-Side Authorization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Authorization decisions shall be evaluated server-side on every request; the system shall never rely solely on client-side role checks to restrict access.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NFR-09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Rate Limiting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Public-facing API endpoints shall be rate-limited to a maximum of 100 requests per minute per IP address; the authentication endpoint shall be limited to 5 attempts per minute per IP address to mitigate brute-force and denial-of-service attempts.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NFR-10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Secrets &amp; Environment Variable Management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Database credentials, API keys, and signing secrets shall be stored exclusively in a managed secrets store (e.g., Kubernetes Secrets or an equivalent vault), never committed to source control or embedded in container images.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NFR-11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Credential Storage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User passwords shall be hashed using a modern, salted hashing algorithm (e.g., bcrypt or Argon2) and shall never be stored or logged in plaintext.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NFR-12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Data-at-Rest Encryption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Patient data stored in the primary database and in backups shall be encrypted at rest.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NFR-13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Session Token Lifecycle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Session tokens shall be short-lived (≤60 minutes) and supported by a rotating refresh-token mechanism; tokens shall be revocable by a System-Admin.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3.4 Scalability &amp; Maintainability</w:t>
      </w: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NFR-14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Horizontal Auto-Scaling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The backend service shall automatically scale horizontally to absorb at least 3x baseline traffic within 2 minutes of sustained load increase.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NFR-15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Stateless Service Design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Backend services shall be designed as stateless processes, with all session and shared state externalized to the data or cache layer, to support horizontal scaling and rolling deployment.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NFR-16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Automated Test Coverage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Backend business logic shall maintain a minimum of 80% automated unit-test coverage, enforced as a CI pipeline gate.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D9E2E5" w:sz="2"/>
          <w:left w:val="none" w:color="FFFFFF" w:sz="0"/>
          <w:bottom w:val="single" w:color="D9E2E5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7770"/>
      </w:tblGrid>
      <w:tr>
        <w:trPr>
          <w:cantSplit/>
        </w:trPr>
        <w:tc>
          <w:tcPr>
            <w:tcW w:type="dxa" w:w="1250"/>
            <w:shd w:fill="F2F6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NFR-17</w:t>
            </w:r>
          </w:p>
        </w:tc>
        <w:tc>
          <w:tcPr>
            <w:tcW w:type="dxa" w:w="7770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Deployment Governance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5B6570"/>
                <w:sz w:val="20"/>
                <w:szCs w:val="20"/>
              </w:rPr>
              <w:t xml:space="preserve">All production deployments shall be performed exclusively through the CI/CD pipeline; direct manual changes to production infrastructure or running containers are prohibited.</w:t>
            </w:r>
          </w:p>
        </w:tc>
      </w:tr>
    </w:tbl>
    <w:p>
      <w:pPr>
        <w:pStyle w:val="Heading1"/>
        <w:keepNext/>
        <w:pBdr>
          <w:bottom w:val="single" w:color="0E7C7B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4. System Design &amp; Architecture (SDD)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section describes the target architecture for Smart Clinic EMR. It translates the requirements in Sections 2 and 3 into concrete architectural decisions covering the frontend, API layer, data and caching strategy, containerization, orchestration, and delivery pipeline.</w:t>
      </w: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4.1 Architecture Overview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Smart Clinic EMR follows a three-tier architecture: a standalone React single-page application (SPA), a stateless RESTful API layer, and a persistence layer composed of a relational database and a Redis cache. All components are containerized and orchestrated on Kubernetes for high availability and elastic scaling.</w:t>
      </w:r>
    </w:p>
    <w:tbl>
      <w:tblPr>
        <w:tblW w:type="dxa" w:w="902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shd w:fill="1E2A30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+-------------------------+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Clinic Staff   |   React SPA (Frontend)  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(Browser)  --&gt; |   Role-based routing/UI 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+------------+-------------+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             | HTTPS / REST (JSON)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+------------v-------------+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|  Ingress Controller (K8s)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|  TLS termination, routing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+------------+-------------+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+------------v-------------+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|  API Service (Deployment)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|  Auth * RBAC * Business   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|  Logic * Rate Limiting    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+------+-------------+------+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            |            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+-----------v--+     +----v-----------+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|  PostgreSQL   |     |  Redis Cache   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|  (Primary DB) |     |  (Non-sensitive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|  StatefulSet  |     |   op. data)     |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          +---------------+     +-----------------+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4.2 Frontend — Standalone React Application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as a standalone single-page application (SPA), decoupled from the backend and served independently through its own container image.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Role-aware routing and UI guards ensure Receptionist, Doctor, and System-Admin users are presented only with views and actions relevant to their role, mirroring server-side RBAC.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Communicates exclusively with the backend over the versioned REST API described in Section 4.3; the SPA holds no direct database or infrastructure access.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and bundled via a standard production build step (e.g., Vite/Webpack) and served through a lightweight static web server container behind the Kubernetes ingress.</w:t>
      </w: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4.3 Backend &amp; API Strategy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backend exposes a versioned, resource-oriented RESTful API. Each resource maps to a core domain entity, with authentication and RBAC middleware applied uniformly across all routes.</w:t>
      </w:r>
    </w:p>
    <w:tbl>
      <w:tblPr>
        <w:tblW w:type="dxa" w:w="902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3300"/>
        <w:gridCol w:w="3800"/>
        <w:gridCol w:w="1920"/>
      </w:tblGrid>
      <w:tr>
        <w:trPr>
          <w:cantSplit/>
          <w:tblHeader/>
        </w:trPr>
        <w:tc>
          <w:tcPr>
            <w:tcW w:type="dxa" w:w="330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/ Endpoint</w:t>
            </w:r>
          </w:p>
        </w:tc>
        <w:tc>
          <w:tcPr>
            <w:tcW w:type="dxa" w:w="380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92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Allowed Roles</w:t>
            </w:r>
          </w:p>
        </w:tc>
      </w:tr>
      <w:tr>
        <w:trPr>
          <w:cantSplit/>
        </w:trPr>
        <w:tc>
          <w:tcPr>
            <w:tcW w:type="dxa" w:w="33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POST /api/v1/auth/login</w:t>
            </w:r>
          </w:p>
        </w:tc>
        <w:tc>
          <w:tcPr>
            <w:tcW w:type="dxa" w:w="38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Authenticate user, issue session/refresh tokens</w:t>
            </w:r>
          </w:p>
        </w:tc>
        <w:tc>
          <w:tcPr>
            <w:tcW w:type="dxa" w:w="19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roles</w:t>
            </w:r>
          </w:p>
        </w:tc>
      </w:tr>
      <w:tr>
        <w:trPr>
          <w:cantSplit/>
        </w:trPr>
        <w:tc>
          <w:tcPr>
            <w:tcW w:type="dxa" w:w="3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GET/POST /api/v1/patients</w:t>
            </w:r>
          </w:p>
        </w:tc>
        <w:tc>
          <w:tcPr>
            <w:tcW w:type="dxa" w:w="3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Search or register patients</w:t>
            </w:r>
          </w:p>
        </w:tc>
        <w:tc>
          <w:tcPr>
            <w:tcW w:type="dxa" w:w="19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Receptionist, Doctor</w:t>
            </w:r>
          </w:p>
        </w:tc>
      </w:tr>
      <w:tr>
        <w:trPr>
          <w:cantSplit/>
        </w:trPr>
        <w:tc>
          <w:tcPr>
            <w:tcW w:type="dxa" w:w="33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GET/POST /api/v1/appointments</w:t>
            </w:r>
          </w:p>
        </w:tc>
        <w:tc>
          <w:tcPr>
            <w:tcW w:type="dxa" w:w="38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View or create appointments</w:t>
            </w:r>
          </w:p>
        </w:tc>
        <w:tc>
          <w:tcPr>
            <w:tcW w:type="dxa" w:w="19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Receptionist</w:t>
            </w:r>
          </w:p>
        </w:tc>
      </w:tr>
      <w:tr>
        <w:trPr>
          <w:cantSplit/>
        </w:trPr>
        <w:tc>
          <w:tcPr>
            <w:tcW w:type="dxa" w:w="3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POST /api/v1/patients/{id}/encounters</w:t>
            </w:r>
          </w:p>
        </w:tc>
        <w:tc>
          <w:tcPr>
            <w:tcW w:type="dxa" w:w="3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Create clinical encounter/chart note</w:t>
            </w:r>
          </w:p>
        </w:tc>
        <w:tc>
          <w:tcPr>
            <w:tcW w:type="dxa" w:w="19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Doctor</w:t>
            </w:r>
          </w:p>
        </w:tc>
      </w:tr>
      <w:tr>
        <w:trPr>
          <w:cantSplit/>
        </w:trPr>
        <w:tc>
          <w:tcPr>
            <w:tcW w:type="dxa" w:w="33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POST /api/v1/patients/{id}/prescriptions</w:t>
            </w:r>
          </w:p>
        </w:tc>
        <w:tc>
          <w:tcPr>
            <w:tcW w:type="dxa" w:w="38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 a prescription</w:t>
            </w:r>
          </w:p>
        </w:tc>
        <w:tc>
          <w:tcPr>
            <w:tcW w:type="dxa" w:w="19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Doctor</w:t>
            </w:r>
          </w:p>
        </w:tc>
      </w:tr>
      <w:tr>
        <w:trPr>
          <w:cantSplit/>
        </w:trPr>
        <w:tc>
          <w:tcPr>
            <w:tcW w:type="dxa" w:w="3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POST /api/v1/patients/{id}/orders</w:t>
            </w:r>
          </w:p>
        </w:tc>
        <w:tc>
          <w:tcPr>
            <w:tcW w:type="dxa" w:w="3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Place lab or referral order</w:t>
            </w:r>
          </w:p>
        </w:tc>
        <w:tc>
          <w:tcPr>
            <w:tcW w:type="dxa" w:w="19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Doctor</w:t>
            </w:r>
          </w:p>
        </w:tc>
      </w:tr>
      <w:tr>
        <w:trPr>
          <w:cantSplit/>
        </w:trPr>
        <w:tc>
          <w:tcPr>
            <w:tcW w:type="dxa" w:w="33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POST /api/v1/admin/users</w:t>
            </w:r>
          </w:p>
        </w:tc>
        <w:tc>
          <w:tcPr>
            <w:tcW w:type="dxa" w:w="38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Provision or update a user account</w:t>
            </w:r>
          </w:p>
        </w:tc>
        <w:tc>
          <w:tcPr>
            <w:tcW w:type="dxa" w:w="19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System-Admin</w:t>
            </w:r>
          </w:p>
        </w:tc>
      </w:tr>
      <w:tr>
        <w:trPr>
          <w:cantSplit/>
        </w:trPr>
        <w:tc>
          <w:tcPr>
            <w:tcW w:type="dxa" w:w="3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3D5C"/>
                <w:sz w:val="19"/>
                <w:szCs w:val="19"/>
              </w:rPr>
              <w:t xml:space="preserve">GET /api/v1/admin/audit-logs</w:t>
            </w:r>
          </w:p>
        </w:tc>
        <w:tc>
          <w:tcPr>
            <w:tcW w:type="dxa" w:w="3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Query the audit trail</w:t>
            </w:r>
          </w:p>
        </w:tc>
        <w:tc>
          <w:tcPr>
            <w:tcW w:type="dxa" w:w="19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System-Admin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endpoints are namespaced under /api/v1/ to support non-breaking future versioning.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Request/response contracts are documented via an OpenAPI (Swagger) specification, generated and validated as part of the CI pipeline.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Authentication middleware validates the JWT on every request; a separate RBAC middleware evaluates the caller's role against the target resource before the request reaches business logic (enforcing REQ-17 / NFR-08).</w:t>
      </w: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4.4 Caching Strategy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Redis is used as a dedicated caching layer to reduce load on the primary database and improve response times for frequently accessed, non-sensitive operational data. Patient clinical records and other protected health information are never written to the cache layer in plaintext or otherwise.</w:t>
      </w:r>
    </w:p>
    <w:tbl>
      <w:tblPr>
        <w:tblW w:type="dxa" w:w="902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2900"/>
        <w:gridCol w:w="3000"/>
        <w:gridCol w:w="3120"/>
      </w:tblGrid>
      <w:tr>
        <w:trPr>
          <w:cantSplit/>
          <w:tblHeader/>
        </w:trPr>
        <w:tc>
          <w:tcPr>
            <w:tcW w:type="dxa" w:w="290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Cached Data</w:t>
            </w:r>
          </w:p>
        </w:tc>
        <w:tc>
          <w:tcPr>
            <w:tcW w:type="dxa" w:w="300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312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Invalidation Strategy</w:t>
            </w:r>
          </w:p>
        </w:tc>
      </w:tr>
      <w:tr>
        <w:trPr>
          <w:cantSplit/>
        </w:trPr>
        <w:tc>
          <w:tcPr>
            <w:tcW w:type="dxa" w:w="29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Clinic/facility configuration (departments, hours)</w:t>
            </w:r>
          </w:p>
        </w:tc>
        <w:tc>
          <w:tcPr>
            <w:tcW w:type="dxa" w:w="30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Read-heavy, rarely changes</w:t>
            </w:r>
          </w:p>
        </w:tc>
        <w:tc>
          <w:tcPr>
            <w:tcW w:type="dxa" w:w="31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TTL (10 min) + write-through on admin update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Provider appointment-slot availability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High read volume during scheduling</w:t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TTL (60 sec) + invalidate on booking write</w:t>
            </w:r>
          </w:p>
        </w:tc>
      </w:tr>
      <w:tr>
        <w:trPr>
          <w:cantSplit/>
        </w:trPr>
        <w:tc>
          <w:tcPr>
            <w:tcW w:type="dxa" w:w="29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Authenticated user's role/permission set</w:t>
            </w:r>
          </w:p>
        </w:tc>
        <w:tc>
          <w:tcPr>
            <w:tcW w:type="dxa" w:w="30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Avoids repeated permission lookups per request</w:t>
            </w:r>
          </w:p>
        </w:tc>
        <w:tc>
          <w:tcPr>
            <w:tcW w:type="dxa" w:w="31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Invalidate on role change (REQ-12) or logout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Rate-limiting counters (NFR-09)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Requires fast, ephemeral, shared counters</w:t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Sliding-window TTL per IP/endpoint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4.5 Containerization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deployable component (React frontend, backend API, and supporting services) is packaged as a separate Docker image to guarantee environment parity between development, staging, and production.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frontend uses a multi-stage Dockerfile: a build stage compiles the React application, and a minimal runtime stage serves the static output, keeping the production image small.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 images are built from a minimal, hardened base image with only required runtime dependencies, reducing attack surface.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Container images are scanned for known vulnerabilities as part of the CI pipeline (Section 4.7) before being pushed to the container registry.</w:t>
      </w: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4.6 Orchestration — Kubernetes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Kubernetes (K8s) manages the deployment, scaling, and self-healing of all containerized components, ensuring the availability and elasticity targets defined in Section 3 are met.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Deployments: The frontend and backend each run as independent Kubernetes Deployments with multiple replicas distributed across nodes for high availability.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Services &amp; Ingress: Internal Services provide stable networking between components; a shared Ingress Controller terminates TLS and routes external traffic to the frontend and API.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Horizontal Pod Autoscaler (HPA): The backend Deployment scales automatically based on CPU/memory utilization to satisfy NFR-14 during clinic traffic spikes.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Probes: Liveness and readiness probes on every pod allow Kubernetes to automatically restart unhealthy instances and avoid routing traffic to pods that are not yet ready, supporting NFR-05.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Configuration &amp; Secrets: Non-sensitive configuration is managed via ConfigMaps; credentials and signing keys are managed via Kubernetes Secrets, satisfying NFR-10.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Stateful Data: PostgreSQL runs as a StatefulSet (or an equivalent managed database service) with persistent volume claims and automated backup jobs to meet the RPO/RTO targets in NFR-06.</w:t>
      </w:r>
    </w:p>
    <w:p>
      <w:pPr>
        <w:pStyle w:val="Heading2"/>
        <w:keepNext/>
        <w:spacing w:after="140" w:before="3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4.7 CI/CD Pipeline — GitHub Actions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code change is validated and deployed through an automated GitHub Actions pipeline, ensuring consistent code quality and eliminating manual production changes (NFR-17).</w:t>
      </w:r>
    </w:p>
    <w:tbl>
      <w:tblPr>
        <w:tblW w:type="dxa" w:w="902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shd w:fill="1E2A30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on: push / pull_request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1. Lint &amp; static analysis        (fail fast on style/type errors)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2. Unit &amp; integration tests       (enforce NFR-16: &gt;=80% coverage)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3. Build Docker images            (frontend, backend)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4. Container vulnerability scan   (block on critical findings)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5. Push images to registry        (tagged with commit SHA)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-- on merge to main --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6. Deploy to staging (K8s)        (automated smoke tests)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7. Manual approval gate           (release manager sign-off)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8E5E7"/>
                <w:sz w:val="18"/>
                <w:szCs w:val="18"/>
              </w:rPr>
              <w:t xml:space="preserve">  8. Rolling deploy to production   (K8s Deployment, zero downtime)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Pull requests cannot be merged unless all lint, test, and security-scan checks pass, enforcing a consistent quality bar on every change.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Deployment manifests are version-controlled alongside application code, so every production release is fully reproducible and auditable.</w:t>
      </w:r>
    </w:p>
    <w:p>
      <w:pPr>
        <w:pStyle w:val="Heading1"/>
        <w:keepNext/>
        <w:pBdr>
          <w:bottom w:val="single" w:color="0E7C7B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5. Requirements Traceability Summary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table below provides a high-level mapping from requirement groups to the primary architectural components responsible for satisfying them, to support design review and test planning.</w:t>
      </w:r>
    </w:p>
    <w:tbl>
      <w:tblPr>
        <w:tblW w:type="dxa" w:w="902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4200"/>
        <w:gridCol w:w="4820"/>
      </w:tblGrid>
      <w:tr>
        <w:trPr>
          <w:cantSplit/>
          <w:tblHeader/>
        </w:trPr>
        <w:tc>
          <w:tcPr>
            <w:tcW w:type="dxa" w:w="420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Group</w:t>
            </w:r>
          </w:p>
        </w:tc>
        <w:tc>
          <w:tcPr>
            <w:tcW w:type="dxa" w:w="4820"/>
            <w:shd w:fill="0B3D5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Design Component(s)</w:t>
            </w:r>
          </w:p>
        </w:tc>
      </w:tr>
      <w:tr>
        <w:trPr>
          <w:cantSplit/>
        </w:trPr>
        <w:tc>
          <w:tcPr>
            <w:tcW w:type="dxa" w:w="42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REQ-01 – REQ-05 (Receptionist)</w:t>
            </w:r>
          </w:p>
        </w:tc>
        <w:tc>
          <w:tcPr>
            <w:tcW w:type="dxa" w:w="48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React SPA + Patients/Appointments API resources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REQ-06 – REQ-10 (Doctor)</w:t>
            </w:r>
          </w:p>
        </w:tc>
        <w:tc>
          <w:tcPr>
            <w:tcW w:type="dxa" w:w="48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React SPA + Encounters/Prescriptions/Orders API resources</w:t>
            </w:r>
          </w:p>
        </w:tc>
      </w:tr>
      <w:tr>
        <w:trPr>
          <w:cantSplit/>
        </w:trPr>
        <w:tc>
          <w:tcPr>
            <w:tcW w:type="dxa" w:w="42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REQ-11 – REQ-15 (System-Admin)</w:t>
            </w:r>
          </w:p>
        </w:tc>
        <w:tc>
          <w:tcPr>
            <w:tcW w:type="dxa" w:w="48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React SPA (Admin views) + Admin API resources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REQ-16 – REQ-18 (Cross-cutting)</w:t>
            </w:r>
          </w:p>
        </w:tc>
        <w:tc>
          <w:tcPr>
            <w:tcW w:type="dxa" w:w="48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Auth &amp; RBAC middleware, Audit logging service</w:t>
            </w:r>
          </w:p>
        </w:tc>
      </w:tr>
      <w:tr>
        <w:trPr>
          <w:cantSplit/>
        </w:trPr>
        <w:tc>
          <w:tcPr>
            <w:tcW w:type="dxa" w:w="42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NFR-01 – NFR-03 (Performance)</w:t>
            </w:r>
          </w:p>
        </w:tc>
        <w:tc>
          <w:tcPr>
            <w:tcW w:type="dxa" w:w="48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Redis caching layer, HPA, CDN/static hosting for SPA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NFR-04 – NFR-06 (Reliability)</w:t>
            </w:r>
          </w:p>
        </w:tc>
        <w:tc>
          <w:tcPr>
            <w:tcW w:type="dxa" w:w="48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Kubernetes Deployments, StatefulSet backups, rolling updates</w:t>
            </w:r>
          </w:p>
        </w:tc>
      </w:tr>
      <w:tr>
        <w:trPr>
          <w:cantSplit/>
        </w:trPr>
        <w:tc>
          <w:tcPr>
            <w:tcW w:type="dxa" w:w="420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NFR-07 – NFR-13 (Security)</w:t>
            </w:r>
          </w:p>
        </w:tc>
        <w:tc>
          <w:tcPr>
            <w:tcW w:type="dxa" w:w="4820"/>
            <w:shd w:fill="F2F6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TLS ingress, RBAC middleware, K8s Secrets, hashing library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3D5C"/>
                <w:sz w:val="19"/>
                <w:szCs w:val="19"/>
              </w:rPr>
              <w:t xml:space="preserve">NFR-14 – NFR-17 (Scalability/Maintainability)</w:t>
            </w:r>
          </w:p>
        </w:tc>
        <w:tc>
          <w:tcPr>
            <w:tcW w:type="dxa" w:w="48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HPA, stateless services, GitHub Actions CI/CD</w:t>
            </w:r>
          </w:p>
        </w:tc>
      </w:tr>
    </w:tbl>
    <w:p>
      <w:pPr>
        <w:spacing w:after="200"/>
      </w:pPr>
    </w:p>
    <w:p>
      <w:pPr>
        <w:keepNext/>
        <w:pBdr>
          <w:top w:val="single" w:color="0E7C7B" w:sz="8" w:space="10"/>
        </w:pBdr>
        <w:spacing w:after="80" w:before="200"/>
      </w:pPr>
      <w:r>
        <w:rPr>
          <w:rFonts w:ascii="Calibri" w:cs="Calibri" w:eastAsia="Calibri" w:hAnsi="Calibri"/>
          <w:b/>
          <w:bCs/>
          <w:color w:val="0B3D5C"/>
          <w:sz w:val="24"/>
          <w:szCs w:val="24"/>
        </w:rPr>
        <w:t xml:space="preserve">Document Control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SRS/SDD is maintained by the codeAfar engineering team and shall be updated alongside major feature or architecture changes. Subsequent revisions should increment the document version and record a summary of changes in a revision history appended to this document.</w:t>
      </w:r>
    </w:p>
    <w:sectPr>
      <w:headerReference w:type="default" r:id="rId7"/>
      <w:footerReference w:type="default" r:id="rId8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0"/>
        <w:sz w:val="16"/>
        <w:szCs w:val="16"/>
      </w:rPr>
      <w:t xml:space="preserve">Page </w:t>
    </w:r>
    <w:r>
      <w:rPr>
        <w:rFonts w:ascii="Calibri" w:cs="Calibri" w:eastAsia="Calibri" w:hAnsi="Calibri"/>
        <w:color w:val="5B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570"/>
        <w:sz w:val="16"/>
        <w:szCs w:val="16"/>
      </w:rPr>
      <w:t xml:space="preserve"> of </w:t>
    </w:r>
    <w:r>
      <w:rPr>
        <w:rFonts w:ascii="Calibri" w:cs="Calibri" w:eastAsia="Calibri" w:hAnsi="Calibri"/>
        <w:color w:val="5B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5" w:sz="4" w:space="6"/>
      </w:pBdr>
      <w:tabs>
        <w:tab w:val="right" w:pos="9026"/>
      </w:tabs>
    </w:pPr>
    <w:r>
      <w:rPr>
        <w:rFonts w:ascii="Calibri" w:cs="Calibri" w:eastAsia="Calibri" w:hAnsi="Calibri"/>
        <w:color w:val="5B6570"/>
        <w:sz w:val="16"/>
        <w:szCs w:val="16"/>
      </w:rPr>
      <w:t xml:space="preserve">Smart Clinic EMR — SRS / SDD v1.0</w:t>
    </w:r>
    <w:r>
      <w:rPr>
        <w:rFonts w:ascii="Calibri" w:cs="Calibri" w:eastAsia="Calibri" w:hAnsi="Calibri"/>
        <w:color w:val="5B6570"/>
        <w:sz w:val="16"/>
        <w:szCs w:val="16"/>
      </w:rPr>
      <w:t xml:space="preserve">	codeAfar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820" w:hanging="260"/>
      </w:pPr>
      <w:rPr>
        <w:color w:val="5B657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2026-08-09T13:36:42.957Z</dcterms:created>
  <dcterms:modified xsi:type="dcterms:W3CDTF">2026-08-09T13:36:42.957Z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