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245FC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5C83D62C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8BC391D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77E7F349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86D2AFD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2F16DBF1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B007097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AEC01A1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B07873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ADAD0B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78531B4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BD095BE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C0D5B36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0771018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1553985E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309143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E5908B9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8B08862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№3</w:t>
      </w:r>
    </w:p>
    <w:p w14:paraId="376CF603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A26A5D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/>
          <w:i/>
          <w:iCs/>
          <w:sz w:val="28"/>
          <w:szCs w:val="28"/>
        </w:rPr>
        <w:t>Основы управления интеллектуальной собственностью</w:t>
      </w:r>
      <w:r>
        <w:rPr>
          <w:rFonts w:ascii="Times New Roman" w:hAnsi="Times New Roman"/>
          <w:sz w:val="28"/>
          <w:szCs w:val="28"/>
        </w:rPr>
        <w:t>»</w:t>
      </w:r>
    </w:p>
    <w:p w14:paraId="67B4C6ED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«Патентно-информационный поиск, в том числе по электронным базам данных патентных ведомств стран мира и международных организации»</w:t>
      </w:r>
    </w:p>
    <w:p w14:paraId="1D40572E">
      <w:pPr>
        <w:spacing w:line="240" w:lineRule="auto"/>
        <w:contextualSpacing/>
        <w:rPr>
          <w:rFonts w:ascii="Times New Roman" w:hAnsi="Times New Roman" w:cs="SimSun"/>
          <w:sz w:val="28"/>
          <w:szCs w:val="28"/>
        </w:rPr>
      </w:pPr>
    </w:p>
    <w:p w14:paraId="485D3476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AB267E9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94935B3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89E0EFC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2B1B629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6A609DB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AD4CA8E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06BAC09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DB3B840">
      <w:pPr>
        <w:pStyle w:val="8"/>
        <w:spacing w:line="240" w:lineRule="auto"/>
        <w:contextualSpacing/>
        <w:jc w:val="both"/>
        <w:rPr>
          <w:rFonts w:ascii="Times New Roman" w:hAnsi="Times New Roman"/>
          <w:b w:val="0"/>
          <w:caps w:val="0"/>
          <w:sz w:val="28"/>
          <w:szCs w:val="28"/>
        </w:rPr>
      </w:pPr>
    </w:p>
    <w:p w14:paraId="02B0471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75712B82">
      <w:pPr>
        <w:spacing w:line="240" w:lineRule="auto"/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 И.</w:t>
      </w:r>
    </w:p>
    <w:p w14:paraId="71EFBFE2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15A14295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683FCCF">
      <w:pPr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</w:p>
    <w:p w14:paraId="4F6C0392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</w:p>
    <w:p w14:paraId="7DD1D53F">
      <w:pPr>
        <w:spacing w:after="0"/>
        <w:ind w:left="-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</w:p>
    <w:p w14:paraId="1A32987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структуры и содержания официального бюллетеня НЦИС для понимания основных разделов, публикуемых сведений о патентах, заявках и товарных знаках, Проведение патентно-информационного поиска для изучения существующих изобретений и их характеристик в базах данных НЦИС и ФИПС.</w:t>
      </w:r>
    </w:p>
    <w:p w14:paraId="3DE921F1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472F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F80D9A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Ознакомьтесь с одним из выпусков официального бюллетеня НЦИС на </w:t>
      </w:r>
    </w:p>
    <w:p w14:paraId="4923D4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сайте </w:t>
      </w:r>
      <w:r>
        <w:rPr>
          <w:rFonts w:ascii="Times New Roman" w:hAnsi="Times New Roman" w:cs="Times New Roman"/>
          <w:i/>
          <w:iCs/>
          <w:sz w:val="28"/>
          <w:szCs w:val="28"/>
        </w:rPr>
        <w:t>http://www.belgospatent.org.by</w:t>
      </w:r>
      <w:r>
        <w:rPr>
          <w:rFonts w:ascii="Times New Roman" w:hAnsi="Times New Roman" w:cs="Times New Roman"/>
          <w:sz w:val="28"/>
          <w:szCs w:val="28"/>
        </w:rPr>
        <w:t xml:space="preserve">. Найти необходимую информацию: разделы официального бюллетеня, что входит в состав публикации сведений </w:t>
      </w:r>
    </w:p>
    <w:p w14:paraId="7EA7DDF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заявке на выдачу патента на изобретение, какие сведения о патентах на </w:t>
      </w:r>
    </w:p>
    <w:p w14:paraId="08FA51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полезные модели публикуются в официальном бюллетене, какие сведения о </w:t>
      </w:r>
    </w:p>
    <w:p w14:paraId="060611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патентах на промышленные образцы публикуются в официальном </w:t>
      </w:r>
    </w:p>
    <w:p w14:paraId="31D2EC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бюллетене, состав публикуемых сведений по регистрации товарных знаков, </w:t>
      </w:r>
    </w:p>
    <w:p w14:paraId="03D14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ли в данном номере официального бюллетеня патентная </w:t>
      </w:r>
    </w:p>
    <w:p w14:paraId="75EED0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относящаяся к области создания программных продуктов.</w:t>
      </w:r>
    </w:p>
    <w:p w14:paraId="18EF86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65D29E">
      <w:pPr>
        <w:spacing w:after="233" w:line="240" w:lineRule="auto"/>
        <w:ind w:firstLine="709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В Официальном бюллетене «Изобретения. Полезные модели. Промышленные образцы. Топологии интегральных микросхем» публикуются:</w:t>
      </w:r>
    </w:p>
    <w:p w14:paraId="3F4DC3E7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заявках на изобретения, прошедших предварительную экспертизу, по результатам которой принято положительное решение, включающие библиографические данные, формулу изобретения, основной чертеж, систематический и нумерационный указатели заявок на изобретения;</w:t>
      </w:r>
    </w:p>
    <w:p w14:paraId="256139DB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международных заявках, поданных согласно Договору о патентной кооперации, вступивших в национальную фазу в Республике Беларусь, включающие библиографические данные, формулу изобретения, систематический и нумерационный указатели международных заявок;</w:t>
      </w:r>
    </w:p>
    <w:p w14:paraId="1DF53E3C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патентах на изобретения, включающие библиографические данные, формулу изобретения, основной чертеж, а также систематический и нумерационный указатели патентов на изобретения;</w:t>
      </w:r>
    </w:p>
    <w:p w14:paraId="646135B2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патентах на полезные модели, включающие библиографические данные, формулу полезной модели, основной чертеж, а также систематический и нумерационный указатели патентов на полезные модели;</w:t>
      </w:r>
    </w:p>
    <w:p w14:paraId="0055ECD2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патентах на промышленные образцы, включающие библиографические данные промышленного образца, его изображение, а также систематический и нумерационный указатели патентов на промышленные образцы;</w:t>
      </w:r>
    </w:p>
    <w:p w14:paraId="7B6AF121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регистрации топологий интегральных микросхем, включающие библиографические данные топологии интегральной микросхемы и реферат;</w:t>
      </w:r>
    </w:p>
    <w:p w14:paraId="50B16BB6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лицензионных договорах, договорах уступки исключительного права на изобретения, полезные модели, промышленные образцы, зарегистрированных в Государственном реестре лицензионных договоров, договоров уступки и договоров залога прав на объекты интеллектуальной собственности Республики Беларусь, договорах комплексной предпринимательской лицензии (франчайзинга), зарегистрированных в Государственном реестре договоров комплексной предпринимательской лицензии (франчайзинга) Республики Беларусь;</w:t>
      </w:r>
    </w:p>
    <w:p w14:paraId="417DFC8F">
      <w:pPr>
        <w:numPr>
          <w:ilvl w:val="0"/>
          <w:numId w:val="1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изменения, вносимые в Государственные реестры изобретений, полезных моделей, промышленных образцов, топологий интегральных микросхем, лицензионных договоров, договоров уступки и договоров залога прав на объекты интеллектуальной собственности Республики Беларусь, договоров комплексной предпринимательской лицензии (франчайзинга) Республики Беларусь, а также поправки к публикациям в бюллетене.</w:t>
      </w:r>
    </w:p>
    <w:p w14:paraId="194ED2D1">
      <w:pPr>
        <w:spacing w:after="233" w:line="240" w:lineRule="auto"/>
        <w:ind w:firstLine="709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В Официальном бюллетене «Товарные знаки и знаки обслуживания. Географические указания» публикуются:</w:t>
      </w:r>
    </w:p>
    <w:p w14:paraId="7FFA5FBB">
      <w:pPr>
        <w:numPr>
          <w:ilvl w:val="0"/>
          <w:numId w:val="2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 о товарных знаках и знаках обслуживания, зарегистрированных в Государственном реестре товарных знаков и знаков обслуживания Республики Беларусь, включающие библиографические данные товарного знака, знака обслуживания, его изображение, перечень классов с указанием товаров и услуг, в отношении которых зарегистрирован товарный знак, знак обслуживания, а также систематический и нумерационный указатели свидетельств и нумерационный указатель заявок на товарные знаки и знаки обслуживания;</w:t>
      </w:r>
    </w:p>
    <w:p w14:paraId="433797E6">
      <w:pPr>
        <w:numPr>
          <w:ilvl w:val="0"/>
          <w:numId w:val="2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сведения, относящиеся к регистрации географического указания, зарегистрированного в Государственном реестре географических указаний Республики Беларусь, а также предоставлению права пользования географическим указанием, запись о котором внесена в Государственный реестр географических указаний Республики Беларусь, включающие библиографические данные, географическое указание, вид товара и описание его особых свойств, границы географического объекта;</w:t>
      </w:r>
    </w:p>
    <w:p w14:paraId="46CB1BE9">
      <w:pPr>
        <w:numPr>
          <w:ilvl w:val="0"/>
          <w:numId w:val="2"/>
        </w:numPr>
        <w:spacing w:before="100" w:beforeAutospacing="1" w:after="135" w:line="360" w:lineRule="atLeast"/>
        <w:ind w:firstLine="0"/>
        <w:jc w:val="both"/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42424"/>
          <w:spacing w:val="-5"/>
          <w:sz w:val="28"/>
          <w:szCs w:val="28"/>
          <w:lang w:eastAsia="ru-RU"/>
        </w:rPr>
        <w:t>изменения, вносимые в Государственный реестр товарных знаков и знаков обслуживания Республики Беларусь, перечень общеизвестных в Республике Беларусь товарных знаков, Государственный реестр географических указаний Республики Беларусь, сведения о лицензионных договорах, договорах уступки исключительного права на товарный знак, договорах о залоге имущественных прав, удостоверяемых свидетельством на товарный знак, зарегистрированных в Государственном реестре лицензионных договоров, договоров уступки и договоров залога прав на объекты интеллектуальной собственности Республики Беларусь, договорах комплексной предпринимательской лицензии (франчайзинга), зарегистрированных в Государственном реестре договоров комплексной предпринимательской лицензии (франчайзинга) Республики Беларусь, сведения об изменениях, вносимых в указанные договоры, а также поправки к публикациям в бюллетене.</w:t>
      </w:r>
    </w:p>
    <w:p w14:paraId="54F7DBCD">
      <w:pPr>
        <w:numPr>
          <w:ilvl w:val="1"/>
          <w:numId w:val="3"/>
        </w:numPr>
        <w:spacing w:before="100" w:beforeAutospacing="1" w:after="100" w:afterAutospacing="1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публикаций по данному направлению.</w:t>
      </w:r>
    </w:p>
    <w:p w14:paraId="0B661CD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6C6BBFA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осуществите патентно-информационный поиск изобретений (в базах данных Национального центра инт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еллектуальной собственности и Федерального института промышленной собственности. По результатам поиска составьте отчет о проделанной работе: страна, номер патента, наименование изобретения, краткое описание.</w:t>
      </w:r>
    </w:p>
    <w:p w14:paraId="6DFE936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748FE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Патент на изобретение 1</w:t>
      </w:r>
    </w:p>
    <w:p w14:paraId="6768B3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</w:rPr>
        <w:t>: Беларусь</w:t>
      </w:r>
    </w:p>
    <w:p w14:paraId="40A7AD9A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Номер патента: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2516</w:t>
      </w:r>
    </w:p>
    <w:p w14:paraId="20B67682">
      <w:pPr>
        <w:shd w:val="clear" w:color="auto" w:fill="FFFFFF"/>
        <w:spacing w:after="0" w:line="240" w:lineRule="auto"/>
        <w:rPr>
          <w:rFonts w:hint="default" w:ascii="Helvetica" w:hAnsi="Helvetica" w:eastAsia="Times New Roman" w:cs="Times New Roman"/>
          <w:b w:val="0"/>
          <w:bCs w:val="0"/>
          <w:color w:val="000000" w:themeColor="text1"/>
          <w:sz w:val="21"/>
          <w:szCs w:val="21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Название: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 w:eastAsia="ru-RU"/>
          <w14:textFill>
            <w14:solidFill>
              <w14:schemeClr w14:val="tx1"/>
            </w14:solidFill>
          </w14:textFill>
        </w:rPr>
        <w:t>Машина для ремонта или укладки железнодорожного пути</w:t>
      </w:r>
    </w:p>
    <w:p w14:paraId="19BE6C57">
      <w:pPr>
        <w:shd w:val="clear" w:color="auto" w:fill="FFFFFF"/>
        <w:spacing w:after="0" w:line="240" w:lineRule="auto"/>
        <w:rPr>
          <w:rFonts w:eastAsia="Times New Roman" w:cs="Times New Roman"/>
          <w:color w:val="555555"/>
          <w:sz w:val="21"/>
          <w:szCs w:val="21"/>
          <w:lang w:eastAsia="ru-RU"/>
        </w:rPr>
      </w:pPr>
    </w:p>
    <w:p w14:paraId="7D67F9C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Патент на изобретение 2</w:t>
      </w:r>
    </w:p>
    <w:p w14:paraId="2ECD08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</w:rPr>
        <w:t>: Беларусь</w:t>
      </w:r>
    </w:p>
    <w:p w14:paraId="0AD0D837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Номер патента: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8588</w:t>
      </w:r>
    </w:p>
    <w:p w14:paraId="090373A6">
      <w:pPr>
        <w:shd w:val="clear" w:color="auto" w:fill="FFFFFF"/>
        <w:spacing w:after="0" w:line="240" w:lineRule="auto"/>
        <w:rPr>
          <w:rFonts w:ascii="Helvetica" w:hAnsi="Helvetica" w:eastAsia="Times New Roman" w:cs="Times New Roman"/>
          <w:b w:val="0"/>
          <w:bCs w:val="0"/>
          <w:color w:val="000000" w:themeColor="text1"/>
          <w:sz w:val="21"/>
          <w:szCs w:val="21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Название: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Лопата-керн с внутренней полостью</w:t>
      </w:r>
    </w:p>
    <w:p w14:paraId="5A98B10C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79E47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Патент на изобретение 3</w:t>
      </w:r>
    </w:p>
    <w:p w14:paraId="2E1A699E"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ascii="Times New Roman" w:hAnsi="Times New Roman" w:cs="Times New Roman"/>
          <w:sz w:val="28"/>
          <w:szCs w:val="28"/>
        </w:rPr>
        <w:t>Страна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Россия</w:t>
      </w:r>
    </w:p>
    <w:p w14:paraId="46529C9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Номер патента: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instrText xml:space="preserve"> HYPERLINK "https://patentscope.wipo.int/search/ru/detail.jsf?docId=RU159990095&amp;_cid=P12-M3MPHO-86259-1" \t "https://patentscope.wipo.int/search/ru/_self" </w:instrTex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159304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fldChar w:fldCharType="end"/>
      </w:r>
    </w:p>
    <w:p w14:paraId="04D0C7AB">
      <w:pPr>
        <w:pStyle w:val="2"/>
        <w:shd w:val="clear" w:color="auto" w:fill="FAFAFA"/>
        <w:spacing w:before="0" w:beforeAutospacing="0" w:after="120" w:afterAutospacing="0"/>
        <w:ind w:left="0" w:leftChars="0"/>
        <w:rPr>
          <w:b w:val="0"/>
          <w:bCs w:val="0"/>
          <w:sz w:val="28"/>
          <w:szCs w:val="28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Название: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ТАНК</w:t>
      </w:r>
      <w:r>
        <w:rPr>
          <w:rFonts w:hint="default"/>
          <w:b w:val="0"/>
          <w:bCs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 МОЛОЧНЫЙ УНИВЕРСАЛЬНЫЙ</w:t>
      </w:r>
    </w:p>
    <w:p w14:paraId="75A6B5ED">
      <w:pPr>
        <w:pStyle w:val="2"/>
        <w:shd w:val="clear" w:color="auto" w:fill="FAFAFA"/>
        <w:spacing w:before="0" w:beforeAutospacing="0" w:after="120" w:afterAutospacing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Описание</w:t>
      </w:r>
      <w:r>
        <w:rPr>
          <w:sz w:val="28"/>
          <w:szCs w:val="28"/>
          <w:lang w:val="en-US"/>
        </w:rPr>
        <w:t>: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int="default"/>
          <w:b w:val="0"/>
          <w:bCs w:val="0"/>
          <w:color w:val="222222"/>
          <w:sz w:val="28"/>
          <w:szCs w:val="28"/>
          <w:shd w:val="clear" w:color="auto" w:fill="FFFFFF"/>
          <w:lang w:val="en-US"/>
        </w:rPr>
        <w:t xml:space="preserve">Танк молочный универсальный, содержащий вертикальный резервуар для жидкости, снабженный встроенной рубашкой для теплоносителя и мешалкой с приводом, клапаны с приводами и устройство управления, отличающийся тем, что вертикальная и донная часть резервуара для жидкости снабжены термоизолирующим покрытием, встроенная рубашка разделена на установленную в донной части рубашку нагрева и, по меньшей мере, две рубашки охлаждения, установленные по периметру вертикальной части резервуара, соединенные параллельно относительно источника охлаждающей жидкости и выполненные анкерными, привод мешалки снабжен устройством частотно-фазового управления, а устройство управления снабжено компьютером и сенсорным экраном. </w:t>
      </w:r>
    </w:p>
    <w:p w14:paraId="26544D11">
      <w:pPr>
        <w:pStyle w:val="2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Вывод. </w:t>
      </w:r>
      <w:r>
        <w:rPr>
          <w:b w:val="0"/>
          <w:bCs w:val="0"/>
          <w:sz w:val="28"/>
          <w:szCs w:val="28"/>
        </w:rPr>
        <w:t>Патентно-информационный поиск позволяет получить ценную информацию о зарегистрированных изобретениях и полезных моделях. На основе проведенного анализа можно сделать вывод, что существует значительное количество инновационных решений в области фармацевтики и косметологии.</w:t>
      </w:r>
    </w:p>
    <w:p w14:paraId="274661A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F6414"/>
    <w:multiLevelType w:val="multilevel"/>
    <w:tmpl w:val="0ABF6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C8F7B6B"/>
    <w:multiLevelType w:val="multilevel"/>
    <w:tmpl w:val="3C8F7B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6DD7655"/>
    <w:multiLevelType w:val="multilevel"/>
    <w:tmpl w:val="66DD76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3D"/>
    <w:rsid w:val="00354E02"/>
    <w:rsid w:val="00C10985"/>
    <w:rsid w:val="00C1593D"/>
    <w:rsid w:val="00E457A5"/>
    <w:rsid w:val="00E7011C"/>
    <w:rsid w:val="00F134D6"/>
    <w:rsid w:val="00FF0542"/>
    <w:rsid w:val="1FF940B9"/>
    <w:rsid w:val="37974D4A"/>
    <w:rsid w:val="6DB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8">
    <w:name w:val="ТПр"/>
    <w:basedOn w:val="1"/>
    <w:qFormat/>
    <w:uiPriority w:val="0"/>
    <w:pPr>
      <w:spacing w:after="200" w:line="240" w:lineRule="exact"/>
      <w:jc w:val="center"/>
    </w:pPr>
    <w:rPr>
      <w:b/>
      <w:caps/>
    </w:rPr>
  </w:style>
  <w:style w:type="character" w:customStyle="1" w:styleId="9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1059</Words>
  <Characters>6040</Characters>
  <Lines>50</Lines>
  <Paragraphs>14</Paragraphs>
  <TotalTime>55</TotalTime>
  <ScaleCrop>false</ScaleCrop>
  <LinksUpToDate>false</LinksUpToDate>
  <CharactersWithSpaces>7085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2024-10-07T09:50:00Z</dcterms:created>
  <dc:creator>dashkagavrilova024@gmail.com</dc:creator>
  <cp:lastModifiedBy>Lolita Lazareva</cp:lastModifiedBy>
  <dcterms:modified xsi:type="dcterms:W3CDTF">2024-11-18T11:11:10Z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6F73256EFFB54EEB93E1DE91DD6DFC90_13</vt:lpwstr>
  </property>
</Properties>
</file>