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AI 猎手</w:t>
      </w:r>
    </w:p>
    <w:p>
      <w:pPr>
        <w:spacing w:before="200"/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不良资产全量穿透与博弈决策系统</w:t>
      </w:r>
    </w:p>
    <w:p>
      <w:pPr>
        <w:spacing w:before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数据库架构说明书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V7.2 Final — PostgreSQL + pgvector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版本日期：2026年3月24日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一、系统概述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AI猎手系统是面向不良资产处置领域的智能审计与博弈决策平台。本数据库架构设计服务于V7.2版本的全部引擎模块，涵盖数据提取、审计分析、博弈策略生成的完整数据链路。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核心设计原则：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法律文书：结构化字段抽取 + 正文chunk向量化（双层架构）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工商数据：纯结构化存储 + 图关系索引（不向量化）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所有表统一case_id隔离，支持多案件并行穿透</w:t>
      </w:r>
    </w:p>
    <w:p>
      <w:pPr>
        <w:pStyle w:val="Heading1"/>
      </w:pPr>
      <w:r>
        <w:rPr>
          <w:rFonts w:ascii="Arial" w:cs="Arial" w:eastAsia="Arial" w:hAnsi="Arial"/>
        </w:rPr>
        <w:t xml:space="preserve">二、技术栈要求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15（原生支持MERGE，JSON性能优化）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pgvector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0.7.0（HNSW索引稳定版）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中文分词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zhparser 或 pg_jieba（全文检索用）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Embedding模型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BGE-large-zh-v1.5 (1024维)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分块策略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500~1000字/块，按段落类型切分，重叠100字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分区建议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legal_documents按judgment_date年度分区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三、数据库对象清单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本数据库共包含 36张表、5个视图、3个函数、84个索引、715列COMMENT。</w:t>
      </w:r>
    </w:p>
    <w:p>
      <w:pPr>
        <w:pStyle w:val="Heading2"/>
      </w:pPr>
      <w:r>
        <w:rPr>
          <w:rFonts w:ascii="Arial" w:cs="Arial" w:eastAsia="Arial" w:hAnsi="Arial"/>
        </w:rPr>
        <w:t xml:space="preserve">3.1 表清单与模块归属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1.案件基座层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案件主表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债务人主表（11项要素+DNA画像）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保证人表（企业/自然人+配偶）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通用联系人表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related_persons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DNA关联人表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case_assessments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清收评估表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2.工商数据层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企业实体统一表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股东关系表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董监高表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biz_changes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工商变更记录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3.法律文书层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文书结构化主表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doc_chunks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文书分块向量表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case_document_links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文书-案件关联表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原始文件管理表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4.资产与债权层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债权明细表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不动产评价全量表（95项）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55列+5个JSONB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mining_evaluations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采矿许可证评价全量表（120项）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63列+4个JSONB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hidden_assets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隐形资产表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financial_investments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金融投资与理财资产表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digital_assets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虚拟与数字资产表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overseas_assets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境外资产线索表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5.审计引擎层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transaction_signatures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银行凭证签字人表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financial_snapshots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财务快照表（轧差数据源）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delta_audit_results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轧差审计结果表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deadline_alerts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时效预警表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repayment_behaviors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偿债行为分析表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6.资金穿透层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银行账户全量清单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digital_payment_accounts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第三方支付账户表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abnormal_transactions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异常交易标记表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7.人员追踪层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人员下落追踪表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family_asset_investigation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婚姻家庭财产排查表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related_party_investigation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关联交易与企业异常排查表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8.风控管控层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risk_profiles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司法风控画像表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data_source_checklist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数据源排查状态追踪表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9.同步控制层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crawl_logs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采集任务日志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Embedding生成队列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视图清单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视图名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v_five_same_audit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五同特征审计（引擎2）：自动计算任意两家企业的同地址/同电话/同法人/同高管/同行业打分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v_legal_opinion_gaps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法律意见书引用缺失清单：列出已引用但未入库的文件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v_mining_compliance_flags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采矿权合规红旗计数器：汇总13项合规风险指标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v_investigation_progress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案件排查完成度仪表盘：实时汇总各维度进度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v_case_todo_list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案件待办事项聚合视图：统一待办列表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函数清单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search_similar_chunks()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语义检索：输入查询向量，返回最相关的法律文书分块，支持按案由和段落类型过滤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refresh_deadline_alerts()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时效预警刷新：更新剩余天数，自动从不动产/采矿权/安全证/排污证生成到期预警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init_data_source_checklist()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数据源初始化：一键生成19个预置数据源检查项，含合规提示和调查令要求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四、分层架构说明</w:t>
      </w:r>
    </w:p>
    <w:p>
      <w:pPr>
        <w:pStyle w:val="Heading2"/>
      </w:pPr>
      <w:r>
        <w:rPr>
          <w:rFonts w:ascii="Arial" w:cs="Arial" w:eastAsia="Arial" w:hAnsi="Arial"/>
        </w:rPr>
        <w:t xml:space="preserve">第1层：案件基座层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6张表：cases、debtors、guarantors、contacts、related_persons、case_assessments。承载案件元数据、债务人11项基础信息、保证人信息、各角色联系人、DNA关联人网络以及清收评估。所有其他表通过case_id/debtor_id关联此层。</w:t>
      </w:r>
    </w:p>
    <w:p>
      <w:pPr>
        <w:pStyle w:val="Heading2"/>
      </w:pPr>
      <w:r>
        <w:rPr>
          <w:rFonts w:ascii="Arial" w:cs="Arial" w:eastAsia="Arial" w:hAnsi="Arial"/>
        </w:rPr>
        <w:t xml:space="preserve">第2层：工商数据层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张表：enterprises、shareholders、executives、biz_changes。来源为爱企查/企查查API，纯结构化存储，不做向量化。支持递归CTE股权穿透、v_five_same_audit五同审计、交叉任职检索。addr_hash和phone_hash字段实现引擎2“同地址/同电话”精确匹配。</w:t>
      </w:r>
    </w:p>
    <w:p>
      <w:pPr>
        <w:pStyle w:val="Heading2"/>
      </w:pPr>
      <w:r>
        <w:rPr>
          <w:rFonts w:ascii="Arial" w:cs="Arial" w:eastAsia="Arial" w:hAnsi="Arial"/>
        </w:rPr>
        <w:t xml:space="preserve">第3层：法律文书层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张表：legal_documents（结构化层）、doc_chunks（向量层）、case_document_links、source_documents。核心双层架构：结构化字段走SQL精确查询，正文分块走pgvector语义检索。source_documents管控原始卷宗扫描质量和法律意见书引用完整性。</w:t>
      </w:r>
    </w:p>
    <w:p>
      <w:pPr>
        <w:pStyle w:val="Heading2"/>
      </w:pPr>
      <w:r>
        <w:rPr>
          <w:rFonts w:ascii="Arial" w:cs="Arial" w:eastAsia="Arial" w:hAnsi="Arial"/>
        </w:rPr>
        <w:t xml:space="preserve">第4层：资产与债权层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张表。claims存储债权明细；不动产评价表10维度95项指标全量映射（含停车场/商铺/厂房/办公楼专项JSONB）；采矿评价表6维度120项指标全量映射。另含hidden_assets、financial_investments、digital_assets、overseas_assets四张表覆盖各类非显性资产。</w:t>
      </w:r>
    </w:p>
    <w:p>
      <w:pPr>
        <w:pStyle w:val="Heading2"/>
      </w:pPr>
      <w:r>
        <w:rPr>
          <w:rFonts w:ascii="Arial" w:cs="Arial" w:eastAsia="Arial" w:hAnsi="Arial"/>
        </w:rPr>
        <w:t xml:space="preserve">第5层：审计引擎层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张表对应四大引擎。transaction_signatures存储银行凭证签字链（制单人→复核人→审批人）；financial_snapshots存储财务快照含税务-流水残差ε演算结果；delta_audit_results存储轧差审计输出；deadline_alerts监控时效；repayment_behaviors检测表演性还款。</w:t>
      </w:r>
    </w:p>
    <w:p>
      <w:pPr>
        <w:pStyle w:val="Heading2"/>
      </w:pPr>
      <w:r>
        <w:rPr>
          <w:rFonts w:ascii="Arial" w:cs="Arial" w:eastAsia="Arial" w:hAnsi="Arial"/>
        </w:rPr>
        <w:t xml:space="preserve">第6层：资金穿透层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3张表。bank_accounts全量银行账户清单；digital_payment_accounts第三方支付账户；abnormal_transactions异常交易标记。三层结构：底层账户层→分析发现层→与transaction_signatures审计引擎层联动。</w:t>
      </w:r>
    </w:p>
    <w:p>
      <w:pPr>
        <w:pStyle w:val="Heading2"/>
      </w:pPr>
      <w:r>
        <w:rPr>
          <w:rFonts w:ascii="Arial" w:cs="Arial" w:eastAsia="Arial" w:hAnsi="Arial"/>
        </w:rPr>
        <w:t xml:space="preserve">第7层：人员追踪层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3张表。person_tracking覆盖通讯轨迹/行政数据/法律施压9条线索；family_asset_investigation覆盖夫妻共同财产/离婚协议/未成年子女代持；related_party_investigation覆盖矛盾关系人访谈/强制审计/关联企业排查。</w:t>
      </w:r>
    </w:p>
    <w:p>
      <w:pPr>
        <w:pStyle w:val="Heading2"/>
      </w:pPr>
      <w:r>
        <w:rPr>
          <w:rFonts w:ascii="Arial" w:cs="Arial" w:eastAsia="Arial" w:hAnsi="Arial"/>
        </w:rPr>
        <w:t xml:space="preserve">第8层：风控管控层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2张表。risk_profiles存储模块D 10项司法风控指标；data_source_checklist追踪19个数据源排查状态，配合init_data_source_checklist()函数一键初始化。</w:t>
      </w:r>
    </w:p>
    <w:p>
      <w:pPr>
        <w:pStyle w:val="Heading2"/>
      </w:pPr>
      <w:r>
        <w:rPr>
          <w:rFonts w:ascii="Arial" w:cs="Arial" w:eastAsia="Arial" w:hAnsi="Arial"/>
        </w:rPr>
        <w:t xml:space="preserve">第9层：同步控制层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2张表。crawl_logs追踪法律文书增量采集状态；embedding_queue管理异步向量化任务，支持批量处理和重试。</w:t>
      </w:r>
    </w:p>
    <w:p>
      <w:pPr>
        <w:pStyle w:val="Heading1"/>
      </w:pPr>
      <w:r>
        <w:rPr>
          <w:rFonts w:ascii="Arial" w:cs="Arial" w:eastAsia="Arial" w:hAnsi="Arial"/>
        </w:rPr>
        <w:t xml:space="preserve">五、JSONB字段结构说明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本数据库采用“结构化核心列 + JSONB专项列”混合架构。高频查询字段为独立列（可WHERE/JOIN/索引），低频专项指标为JSONB列（灵活扩展，无需ALTER TABLE）。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每个JSONB列的内部key结构均在SQL文件的COMMENT ON COLUMN中逐项列出。以下为JSONB列清单：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JSONB列名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内含指标数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15项（停车场专项）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15项（商铺专项）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industrial_land_details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11项（工业土地专项）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12项（厂房专项）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13项（园区办公楼专项）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real_estate_evaluations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discount_factors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动态码（瑕疵折扣因子）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mining_evaluations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geological_conditions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15项（地质条件）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mining_evaluations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10项（运营细节）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mining_evaluations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market_risk_details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16项（市场与行业风险）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mining_evaluations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disposal_details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14项（变现与处置能力）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六、索引策略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共创建84个索引，分为以下几类：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B-Tree索引：外键关联（case_id/debtor_id/enterprise_id）、时效日期（seal_expiry/permit_expiry）、状态查询（severity/query_status）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GIN索引：数组字段（tags/plaintiff/defendant/abnormal_patterns）、模糊文本匹配（gin_trgm_ops）、全文检索（tsvector）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HNSW向量索引：doc_chunks.embedding，参数m=16, ef_construction=200，适合增量更新场景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条件索引：仅对特定条件行建索引，如needs_rescan=true、is_referenced_in_legal_opinion=true AND is_captured=false</w:t>
      </w:r>
    </w:p>
    <w:p>
      <w:pPr>
        <w:pStyle w:val="Heading1"/>
      </w:pPr>
      <w:r>
        <w:rPr>
          <w:rFonts w:ascii="Arial" w:cs="Arial" w:eastAsia="Arial" w:hAnsi="Arial"/>
        </w:rPr>
        <w:t xml:space="preserve">七、数据流转说明</w:t>
      </w:r>
    </w:p>
    <w:p>
      <w:pPr>
        <w:pStyle w:val="Heading2"/>
      </w:pPr>
      <w:r>
        <w:rPr>
          <w:rFonts w:ascii="Arial" w:cs="Arial" w:eastAsia="Arial" w:hAnsi="Arial"/>
        </w:rPr>
        <w:t xml:space="preserve">7.1 法律文书入库流程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采集脚本增量拉取 → 规则引擎抽取结构化字段写入legal_documents → 按段落类型分块写入doc_chunks.chunk_text → 写入embedding_queue → 异步Worker调用BGE模型生成向量写入doc_chunks.embedding</w:t>
      </w:r>
    </w:p>
    <w:p>
      <w:pPr>
        <w:pStyle w:val="Heading2"/>
      </w:pPr>
      <w:r>
        <w:rPr>
          <w:rFonts w:ascii="Arial" w:cs="Arial" w:eastAsia="Arial" w:hAnsi="Arial"/>
        </w:rPr>
        <w:t xml:space="preserve">7.2 工商数据API入库流程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调用API → 字段映射归一化（地址→addr_hash，电话→phone_hash） → UPSERT去重入库enterprises/shareholders/executives/biz_changes → 原始JSON存入raw_response</w:t>
      </w:r>
    </w:p>
    <w:p>
      <w:pPr>
        <w:pStyle w:val="Heading2"/>
      </w:pPr>
      <w:r>
        <w:rPr>
          <w:rFonts w:ascii="Arial" w:cs="Arial" w:eastAsia="Arial" w:hAnsi="Arial"/>
        </w:rPr>
        <w:t xml:space="preserve">7.3 新案件初始化流程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创建cases记录 → 创建debtors记录 → 调用init_data_source_checklist()生成19个数据源检查项 → 律师逐项推进排查 → v_investigation_progress实时看板</w:t>
      </w:r>
    </w:p>
    <w:p>
      <w:pPr>
        <w:pStyle w:val="Heading1"/>
      </w:pPr>
      <w:r>
        <w:rPr>
          <w:rFonts w:ascii="Arial" w:cs="Arial" w:eastAsia="Arial" w:hAnsi="Arial"/>
        </w:rPr>
        <w:t xml:space="preserve">八、部署建议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建库方式：直接执行ai_hunter_v72_final_commented.sql即可一键创建全部36张表、视图、函数和索引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pgvector索引在数据量&gt;100万时建议调整HNSW参数（增大m和ef_construction）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legal_documents表建议按judgment_date做年度分区，提升大表查询性能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向量化Worker建议独立进程部署，从embedding_queue消费，支持批量处理和重试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定时任务：每天执行SELECT refresh_deadline_alerts()刷新时效预警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2026-03-24T07:46:46.888Z</dcterms:created>
  <dcterms:modified xsi:type="dcterms:W3CDTF">2026-03-24T07:46:46.889Z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