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pStyle w:val="Title"/>
        <w:keepNext/>
      </w:pPr>
      <w:r>
        <w:rPr>
          <w:rFonts w:ascii="Calibri" w:hAnsi="Calibri" w:eastAsia="Microsoft YaHei"/>
          <w:b/>
          <w:i w:val="0"/>
          <w:color w:val="000000"/>
          <w:sz w:val="46"/>
        </w:rPr>
        <w:t>财务报表附注</w:t>
      </w:r>
    </w:p>
    <w:p>
      <w:pPr>
        <w:pStyle w:val="Subtitle"/>
        <w:keepNext/>
      </w:pPr>
      <w:r>
        <w:rPr>
          <w:rFonts w:ascii="Calibri" w:hAnsi="Calibri" w:eastAsia="Microsoft YaHei"/>
          <w:b w:val="0"/>
          <w:i w:val="0"/>
          <w:color w:val="666F7A"/>
          <w:sz w:val="28"/>
        </w:rPr>
        <w:t>{{project.company_name}} · {{project.audit_year}}年度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项目编号：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{{project.project_id}}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财务报表日：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{{project.period_end}}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记账本位币：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{{project.currency_unit}}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编制日期：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{{project.report_date}}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审计意见：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{{report.opinion_type}}</w:t>
      </w:r>
    </w:p>
    <w:p>
      <w:pPr>
        <w:spacing w:after="200"/>
      </w:pPr>
    </w:p>
    <w:p>
      <w:pPr>
        <w:spacing w:before="80" w:after="160" w:line="264" w:lineRule="auto"/>
        <w:ind w:left="160" w:right="160"/>
        <w:shd w:fill="E8EEF5"/>
        <w:pBdr>
          <w:left w:val="single" w:sz="16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1"/>
        </w:rPr>
        <w:t>阅读说明：</w:t>
      </w:r>
      <w:r>
        <w:rPr>
          <w:rFonts w:ascii="Calibri" w:hAnsi="Calibri" w:eastAsia="Microsoft YaHei"/>
          <w:b w:val="0"/>
          <w:i w:val="0"/>
          <w:color w:val="0B2545"/>
          <w:sz w:val="21"/>
        </w:rPr>
        <w:t>本附注是经审计财务报表不可分割的组成部分，金额单位为{{project.currency_unit}}。</w:t>
      </w:r>
    </w:p>
    <w:p>
      <w:pPr>
        <w:pStyle w:val="Heading1"/>
      </w:pPr>
      <w:r>
        <w:t>一、公司基本情况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{{report.company_profile}}</w:t>
      </w:r>
    </w:p>
    <w:p>
      <w:pPr>
        <w:pStyle w:val="Heading1"/>
      </w:pPr>
      <w:r>
        <w:t>二、财务报表的编制基础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{{report.preparation_basis}}</w:t>
      </w:r>
    </w:p>
    <w:p>
      <w:pPr>
        <w:pStyle w:val="Heading1"/>
      </w:pPr>
      <w:r>
        <w:t>三、重要会计政策和会计估计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{{report.accounting_policies}}</w:t>
      </w:r>
    </w:p>
    <w:p>
      <w:pPr>
        <w:pStyle w:val="Heading2"/>
      </w:pPr>
      <w:r>
        <w:t>重大会计判断和估计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{{report.significant_judgments}}</w:t>
      </w:r>
    </w:p>
    <w:p>
      <w:pPr>
        <w:pStyle w:val="Heading1"/>
      </w:pPr>
      <w:r>
        <w:t>四、财务报表主要项目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下表为主要报表项目摘要；完整项目明细见经审计财务报表。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400"/>
        <w:gridCol w:w="2480"/>
        <w:gridCol w:w="2480"/>
      </w:tblGrid>
      <w:tr>
        <w:trPr>
          <w:tblHeader w:val="true"/>
        </w:trPr>
        <w:tc>
          <w:tcPr>
            <w:tcW w:type="dxa" w:w="4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项目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期末/本期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说明</w:t>
            </w:r>
          </w:p>
        </w:tc>
      </w:tr>
      <w:tr>
        <w:trPr/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资产总额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{{statements.summary.total_assets}}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经审计汇总</w:t>
            </w:r>
          </w:p>
        </w:tc>
      </w:tr>
      <w:tr>
        <w:trPr/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负债总额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{{statements.summary.total_liabilities}}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经审计汇总</w:t>
            </w:r>
          </w:p>
        </w:tc>
      </w:tr>
      <w:tr>
        <w:trPr/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所有者权益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{{statements.summary.total_equity}}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经审计汇总</w:t>
            </w:r>
          </w:p>
        </w:tc>
      </w:tr>
      <w:tr>
        <w:trPr/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营业收入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{{statements.summary.revenue}}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经审计汇总</w:t>
            </w:r>
          </w:p>
        </w:tc>
      </w:tr>
      <w:tr>
        <w:trPr/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净利润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{{statements.summary.net_profit}}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经审计汇总</w:t>
            </w:r>
          </w:p>
        </w:tc>
      </w:tr>
      <w:tr>
        <w:trPr/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经营活动现金流量净额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{{statements.summary.net_operating}}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经审计汇总</w:t>
            </w:r>
          </w:p>
        </w:tc>
      </w:tr>
      <w:tr>
        <w:trPr/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期末现金及现金等价物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{{statements.summary.ending_cash}}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经审计汇总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五、税项、关联方及其他重大事项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{{report.notes_summary}}</w:t>
      </w:r>
    </w:p>
    <w:p>
      <w:pPr>
        <w:pStyle w:val="Heading1"/>
      </w:pPr>
      <w:r>
        <w:t>六、附注结论</w:t>
      </w:r>
    </w:p>
    <w:p>
      <w:pPr>
        <w:spacing w:before="80" w:after="160" w:line="264" w:lineRule="auto"/>
        <w:ind w:left="160" w:right="160"/>
        <w:shd w:fill="E8EEF5"/>
        <w:pBdr>
          <w:left w:val="single" w:sz="16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1"/>
        </w:rPr>
        <w:t>复核结论：</w:t>
      </w:r>
      <w:r>
        <w:rPr>
          <w:rFonts w:ascii="Calibri" w:hAnsi="Calibri" w:eastAsia="Microsoft YaHei"/>
          <w:b w:val="0"/>
          <w:i w:val="0"/>
          <w:color w:val="0B2545"/>
          <w:sz w:val="21"/>
        </w:rPr>
        <w:t>{{report.notes_conclusion}}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编制/复核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人员或机构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财务报表编制主体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{{project.company_name}}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审计复核意见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{{report.opinion_type}}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项目编号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{{project.project_id}}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日期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{{project.report_date}}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666F7A"/>
        <w:sz w:val="18"/>
      </w:rPr>
      <w:t xml:space="preserve">第 </w:t>
    </w:r>
    <w:fldSimple w:instr="PAGE">
      <w:r>
        <w:rPr>
          <w:rFonts w:ascii="Calibri" w:hAnsi="Calibri" w:eastAsia="Microsoft YaHei"/>
          <w:color w:val="666F7A"/>
          <w:sz w:val="18"/>
        </w:rPr>
        <w:t>1</w:t>
      </w:r>
    </w:fldSimple>
    <w:r>
      <w:rPr>
        <w:rFonts w:ascii="Calibri" w:hAnsi="Calibri" w:eastAsia="Microsoft YaHei"/>
        <w:b w:val="0"/>
        <w:i w:val="0"/>
        <w:color w:val="666F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/>
    </w:pPr>
    <w:r>
      <w:rPr>
        <w:rFonts w:ascii="Calibri" w:hAnsi="Calibri" w:eastAsia="Microsoft YaHei"/>
        <w:b/>
        <w:i w:val="0"/>
        <w:color w:val="666F7A"/>
        <w:sz w:val="18"/>
      </w:rPr>
      <w:t>年度审计 · 财务报表附注</w:t>
    </w:r>
    <w:r>
      <w:rPr>
        <w:rFonts w:ascii="Calibri" w:hAnsi="Calibri" w:eastAsia="Microsoft YaHei"/>
        <w:b w:val="0"/>
        <w:i w:val="0"/>
        <w:color w:val="666F7A"/>
        <w:sz w:val="18"/>
      </w:rPr>
      <w:tab/>
      <w:t>{{project.project_id}} | {{project.audit_year}}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F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财务报表附注模板</dc:title>
  <dc:subject>AP001年度审计</dc:subject>
  <dc:creator>Audit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