
<file path=[Content_Types].xml><?xml version="1.0" encoding="utf-8"?>
<Types xmlns="http://schemas.openxmlformats.org/package/2006/content-types"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>Informe de operaciones logisticas - Centro de Distribucion Norte</w:t>
      </w:r>
    </w:p>
    <w:p>
      <w:r>
        <w:t>Elaborado por: Carlos Mendoza. Fecha: 12 de abril de 2025.</w:t>
      </w:r>
    </w:p>
    <w:p>
      <w:r>
        <w:t>A continuacion se presenta el diagrama del proceso y la evidencia fotografica.</w:t>
      </w:r>
    </w:p>
    <w:p>
      <w:r>
        <w:drawing>
          <wp:inline distT="0" distB="0" distL="0" distR="0">
            <wp:extent cx="5000000" cy="3444444"/>
            <wp:docPr id="1" name="Imagen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344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000000" cy="5000000"/>
            <wp:docPr id="2" name="Imagen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5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El nivel de servicio fue 91,5% frente a la meta de 96%. No se explica la causa.</w:t>
      </w:r>
    </w:p>
  </w:body>
</w:document>
</file>

<file path=word/_rels/document.xml.rels><?xml version="1.0" encoding="UTF-8"?><Relationships xmlns="http://schemas.openxmlformats.org/package/2006/relationships"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