
<file path=[Content_Types].xml><?xml version="1.0" encoding="utf-8"?>
<Types xmlns="http://schemas.openxmlformats.org/package/2006/content-types"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Informe de operaciones logisticas - Centro de distribucion Norte</w:t>
      </w:r>
    </w:p>
    <w:p>
      <w:r>
        <w:t xml:space="preserve">Elaborado por: Carlos Mendoza. Fecha: 12 de abril de 2025.</w:t>
      </w:r>
    </w:p>
    <w:p>
      <w:r>
        <w:t xml:space="preserve">Durante el trimestre se recibieron 4.320 unidades y se despacharon 4.180. El nivel de servicio alcanzo 91,5%, por debajo de la meta de 96%.</w:t>
      </w:r>
    </w:p>
    <w:p>
      <w:r>
        <w:t xml:space="preserve">El costo por despacho subio a 2.140 frente a una meta de 1.850. No se identifican las causas del incremento.</w:t>
      </w:r>
    </w:p>
    <w:p>
      <w:r>
        <w:t xml:space="preserve">Se realizo el conteo ciclico de 3 de las 8 zonas programadas.</w:t>
      </w:r>
    </w:p>
    <w:p>
      <w:pPr>
        <w:pStyle w:val="Heading1"/>
      </w:pPr>
      <w:r>
        <w:t>Conclusiones</w:t>
      </w:r>
    </w:p>
    <w:p>
      <w:r>
        <w:t xml:space="preserve">El inventario presenta diferencias en la zona de alta rotacion. Se recomienda revisar el proceso de alistamiento.</w:t>
      </w:r>
    </w:p>
    <w:tbl>
      <w:tr>
        <w:tc>
          <w:p>
            <w:r>
              <w:t>Indicador</w:t>
            </w:r>
          </w:p>
        </w:tc>
        <w:tc>
          <w:p>
            <w:r>
              <w:t>Meta</w:t>
            </w:r>
          </w:p>
        </w:tc>
        <w:tc>
          <w:p>
            <w:r>
              <w:t>Real</w:t>
            </w:r>
          </w:p>
        </w:tc>
        <w:tc>
          <w:p>
            <w:r>
              <w:t>Cumple</w:t>
            </w:r>
          </w:p>
        </w:tc>
      </w:tr>
      <w:tr>
        <w:tc>
          <w:p>
            <w:r>
              <w:t>Nivel de servicio</w:t>
            </w:r>
          </w:p>
        </w:tc>
        <w:tc>
          <w:p>
            <w:r>
              <w:t>96%</w:t>
            </w:r>
          </w:p>
        </w:tc>
        <w:tc>
          <w:p>
            <w:r>
              <w:t>91,5%</w:t>
            </w:r>
          </w:p>
        </w:tc>
        <w:tc>
          <w:p>
            <w:r>
              <w:t>No</w:t>
            </w:r>
          </w:p>
        </w:tc>
      </w:tr>
      <w:tr>
        <w:tc>
          <w:p>
            <w:r>
              <w:t>Exactitud inventario</w:t>
            </w:r>
          </w:p>
        </w:tc>
        <w:tc>
          <w:p>
            <w:r>
              <w:t>98%</w:t>
            </w:r>
          </w:p>
        </w:tc>
        <w:tc>
          <w:p>
            <w:r>
              <w:t>97,2%</w:t>
            </w:r>
          </w:p>
        </w:tc>
        <w:tc>
          <w:p>
            <w:r>
              <w:t>No</w:t>
            </w:r>
          </w:p>
        </w:tc>
      </w:tr>
      <w:tr>
        <w:tc>
          <w:p>
            <w:r>
              <w:t>Costo por despacho</w:t>
            </w:r>
          </w:p>
        </w:tc>
        <w:tc>
          <w:p>
            <w:r>
              <w:t>1850</w:t>
            </w:r>
          </w:p>
        </w:tc>
        <w:tc>
          <w:p>
            <w:r>
              <w:t>2140</w:t>
            </w:r>
          </w:p>
        </w:tc>
        <w:tc>
          <w:p>
            <w:r>
              <w:t>No</w:t>
            </w:r>
          </w:p>
        </w:tc>
      </w:tr>
    </w:tbl>
  </w:body>
</w:document>
</file>