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B6770"/>
          <w:sz w:val="24"/>
          <w:szCs w:val="24"/>
        </w:rPr>
        <w:t xml:space="preserve">DAKAR INSTITUT OF TECHNOLOGY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5B6770"/>
          <w:sz w:val="22"/>
          <w:szCs w:val="22"/>
        </w:rPr>
        <w:t xml:space="preserve">Master Intelligence Artificielle — Bases de données NoSQL</w:t>
      </w:r>
    </w:p>
    <w:p>
      <w:pPr>
        <w:spacing w:before="7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2A3F"/>
          <w:sz w:val="44"/>
          <w:szCs w:val="44"/>
        </w:rPr>
        <w:t xml:space="preserve">DEVOIR MONGODB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0A5C5B"/>
          <w:sz w:val="30"/>
          <w:szCs w:val="30"/>
        </w:rPr>
        <w:t xml:space="preserve">Sharding, Sécurité et Performances</w:t>
      </w:r>
    </w:p>
    <w:p>
      <w:pPr>
        <w:pBdr>
          <w:bottom w:val="single" w:color="0E7C7B" w:sz="12" w:space="8"/>
        </w:pBdr>
        <w:spacing w:before="260"/>
        <w:jc w:val="center"/>
      </w:pPr>
      <w:r>
        <w:rPr>
          <w:rFonts w:ascii="Calibri" w:cs="Calibri" w:eastAsia="Calibri" w:hAnsi="Calibri"/>
          <w:b/>
          <w:bCs/>
          <w:color w:val="0E7C7B"/>
          <w:sz w:val="26"/>
          <w:szCs w:val="26"/>
        </w:rPr>
        <w:t xml:space="preserve">RAPPORT — PARTIE 2 : SÉCURITÉ</w:t>
      </w:r>
    </w:p>
    <w:p>
      <w:pPr>
        <w:spacing w:before="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B6770"/>
          <w:sz w:val="20"/>
          <w:szCs w:val="20"/>
        </w:rPr>
        <w:t xml:space="preserve">Use case</w:t>
      </w:r>
    </w:p>
    <w:p>
      <w:pPr>
        <w:spacing w:before="60"/>
        <w:jc w:val="center"/>
      </w:pPr>
      <w:r>
        <w:rPr>
          <w:rFonts w:ascii="Calibri" w:cs="Calibri" w:eastAsia="Calibri" w:hAnsi="Calibri"/>
          <w:b/>
          <w:bCs/>
          <w:color w:val="0F2A3F"/>
          <w:sz w:val="24"/>
          <w:szCs w:val="24"/>
        </w:rPr>
        <w:t xml:space="preserve">Plateforme Centrale de Centralisation de Logs Médicaux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0F2A3F"/>
          <w:sz w:val="24"/>
          <w:szCs w:val="24"/>
        </w:rPr>
        <w:t xml:space="preserve">(Dossier Patient Partagé)</w:t>
      </w:r>
    </w:p>
    <w:p>
      <w:pPr>
        <w:spacing w:before="9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696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Établissement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Dakar Institut of Technology — Master IA 2025/2026</w:t>
            </w:r>
          </w:p>
        </w:tc>
      </w:tr>
      <w:tr>
        <w:tc>
          <w:tcPr>
            <w:tcW w:type="dxa" w:w="26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Groupe</w:t>
            </w:r>
          </w:p>
        </w:tc>
        <w:tc>
          <w:tcPr>
            <w:tcW w:type="dxa" w:w="69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[Noms des 4-5 membres du groupe]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Environnement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Docker Compose — MongoDB 7.0 Community Edition</w:t>
            </w:r>
          </w:p>
        </w:tc>
      </w:tr>
      <w:tr>
        <w:tc>
          <w:tcPr>
            <w:tcW w:type="dxa" w:w="26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Livrable associé</w:t>
            </w:r>
          </w:p>
        </w:tc>
        <w:tc>
          <w:tcPr>
            <w:tcW w:type="dxa" w:w="69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mongodb-security-partie2.zip (code source complet)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 juillet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1. Introduction et contexte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 rapport documente la mise en œuvre intégrale de la Partie 2 (Sécurité) du devoir MongoDB, dans le cadre du use case retenu par le groupe : une plateforme de centralisation des logs médicaux et dossiers patients partagés, interconnectant plusieurs établissements de santé.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Un Dossier Patient Partagé (DPP) manipule des données parmi les plus sensibles qui soient (diagnostics, résultats de laboratoire, antécédents, historique de soins). Ce contexte a directement guidé les choix de sécurité présentés ici : authentification forte à tous les niveaux, autorisation fine par métier, protection renforcée des champs les plus sensibles, et traçabilité systématique des accès.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1.1 Rappel du use case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 système centralise, pour un réseau d'hôpitaux, trois types de données principales 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les comptes-rendus médicaux et dossiers patients (diagnostics, antécédents, traitements)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les résultats de laboratoire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les journaux (logs) d'accès aux dossiers de santé — une exigence réglementaire dans la plupart des cadres de santé numérique (traçabilité "qui a consulté quoi, quand").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 dernier point fait écho directement à la Partie 2 du devoir : la plateforme n'est pas seulement un entrepôt de données médicales, elle doit elle-même produire une preuve de bonne gouvernance des accès — ce que ce rapport met en œuvre concrètement (voir section 6).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1.2 Objectifs de la Partie 2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Conformément à l'énoncé, l'environnement Docker déployé couvre 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l'authentification (interne au cluster et des clients, avec deux mécanismes distincts)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la gestion des autorisations (RBAC métier, principe du moindre privilège)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et, au-delà du strict minimum demandé, des mesures complémentaires cohérentes avec la sensibilité du use case : chiffrement en transit systématique, protection au niveau champ, audit applicatif, isolation réseau et durcissement des conteneurs.</w:t>
      </w:r>
    </w:p>
    <w:p>
      <w:pPr>
        <w:pBdr>
          <w:top w:val="single" w:color="EAF2F8" w:sz="2"/>
          <w:bottom w:val="single" w:color="EAF2F8" w:sz="2"/>
          <w:left w:val="single" w:color="0E7C7B" w:sz="24"/>
          <w:right w:val="single" w:color="EAF2F8" w:sz="2"/>
        </w:pBdr>
        <w:shd w:fill="EAF2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Portée de ce rapport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Ce document couvre exclusivement la Partie 2 (Sécurité). Le cluster shardé (4 shards) est déployé et pleinement opérationnel — condition nécessaire pour démontrer la sécurité dans un contexte réaliste — mais l'analyse des stratégies de clé de sharding (Partie 4), les niveaux de cohérence (Partie 3) et l'optimisation des performances (Partie 5) sont traités dans les livrables correspondants.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2. Architecture générale du cluster sécurisé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L'architecture déployée est un cluster MongoDB shardé complet : 3 config servers (replica set csrs), 4 shards, et 2 routeurs mongos pour la disponibilité des points d'entrée. L'ensemble est orchestré par Docker Compose (fichier docker-compose.yml, 10 services).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2.1 Composants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700"/>
        <w:gridCol w:w="2260"/>
      </w:tblGrid>
      <w:tr>
        <w:trPr>
          <w:tblHeader/>
        </w:trPr>
        <w:tc>
          <w:tcPr>
            <w:tcW w:type="dxa" w:w="26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42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7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Nb. instances</w:t>
            </w:r>
          </w:p>
        </w:tc>
        <w:tc>
          <w:tcPr>
            <w:tcW w:type="dxa" w:w="226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Exposition réseau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csrs1 / csrs2 / csrs3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Config servers (métadonnées du cluster shardé)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 (replica set)</w:t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backend-net uniquement</w:t>
            </w:r>
          </w:p>
        </w:tc>
      </w:tr>
      <w:tr>
        <w:tc>
          <w:tcPr>
            <w:tcW w:type="dxa" w:w="26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shard01 … shard04</w:t>
            </w:r>
          </w:p>
        </w:tc>
        <w:tc>
          <w:tcPr>
            <w:tcW w:type="dxa" w:w="42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Shards de données (replica set)</w:t>
            </w:r>
          </w:p>
        </w:tc>
        <w:tc>
          <w:tcPr>
            <w:tcW w:type="dxa" w:w="17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2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backend-net uniquement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mongos1 / mongos2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Routeurs de requêtes — point d'entrée client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backend-net + frontend-net (ports publiés)</w:t>
            </w:r>
          </w:p>
        </w:tc>
      </w:tr>
      <w:tr>
        <w:tc>
          <w:tcPr>
            <w:tcW w:type="dxa" w:w="26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audit-watcher</w:t>
            </w:r>
          </w:p>
        </w:tc>
        <w:tc>
          <w:tcPr>
            <w:tcW w:type="dxa" w:w="42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Service Node.js — Change Streams -&gt; logs d'audit</w:t>
            </w:r>
          </w:p>
        </w:tc>
        <w:tc>
          <w:tcPr>
            <w:tcW w:type="dxa" w:w="17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2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frontend-net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A5C5B"/>
        </w:rPr>
        <w:t xml:space="preserve">2.2 Isolation réseau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Deux réseaux Docker distincts structurent la topologie 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backend-net (internal: true) : aucune route vers/depuis l'hôte. Les config servers et les shards ne sont accessibles qu'entre eux et depuis les mongos — un attaquant ayant compromis l'hôte ne peut pas atteindre directement un shard.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frontend-net : seul réseau autorisant une sortie vers l'hôte, utilisé uniquement par les mongos (ports publiés 27017/27027) et le service audit-watcher.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Cette segmentation reproduit, au niveau Docker, une architecture réseau en zones (DMZ applicative vs zone de données) : seuls les mongos constituent la surface d'attaque exposée, exactement comme en production ils seraient placés derrière un load-balancer/pare-feu, les mongod restant dans un réseau privé.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2.3 Édition MongoDB retenue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 cluster utilise MongoDB Community Edition (image officielle mongo:7.0.14), gratuite et suffisante pour la quasi-totalité des exigences de sécurité de la Partie 2. Les fonctionnalités réservées à MongoDB Enterprise/Atlas (audit natif filtrable, chiffrement au repos WiredTiger natif, LDAP/Kerberos) sont identifiées explicitement section par section, avec la stratégie de contournement retenue en Community Edition — démarche assumée et documentée plutôt que passée sous silence.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3. Authentification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3.1 Authentification interne du cluster (keyFile)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Dès qu'un cluster shardé ou un replica set active security.authorization, chaque échange interne entre membres (mongod ↔ mongod, mongod ↔ mongos) doit lui-même être authentifié — sans cela, un nœud malveillant pourrait s'insérer dans le replica set ou usurper un shard. Un keyFile partagé (secret de 756 bits, généré par keyfile/generate-keyfile.sh) est monté sur chaque conteneur via un Docker secret, avec clusterAuthMode: keyFile dans la configuration de chaque nœud.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# keyfile/generate-keyfile.sh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openssl rand -base64 756 &gt; mongo-cluster.key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chmod 600 mongo-cluster.key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 fichier n'est jamais copié en clair dans les images ; il est injecté au runtime via la directive secrets: de Docker Compose, avec uid/gid alignés sur l'utilisateur non-root mongodb (uid 999) de l'image officielle.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3.2 Chiffrement en transit — TLS mutuel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Toutes les connexions (client -&gt; mongos, mongos -&gt; shard, mongod -&gt; mongod) sont chiffrées : net.tls.mode est positionné à requireTLS sur chaque nœud, et allowConnectionsWithoutCertificates: false impose en plus un certificat client valide (TLS mutuel), au-delà du simple chiffrement du canal.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Une autorité de certification (CA) auto-signée est générée localement (certs/generate-certs.sh), puis un certificat serveur est émis pour chaque nœud (CN et Subject Alternative Names correspondant au nom de service Docker, condition nécessaire à la validation TLS lors de la résolution DNS interne).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net: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tls: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mode: requireTLS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certificateKeyFile: /etc/mongo-certs/node.pem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CAFile: /etc/mongo-certs/ca.pem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allowConnectionsWithoutCertificates: false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disabledProtocols: "TLS1_0,TLS1_1"</w:t>
      </w:r>
    </w:p>
    <w:p>
      <w:pPr>
        <w:pBdr>
          <w:top w:val="single" w:color="FBEDE9" w:sz="2"/>
          <w:bottom w:val="single" w:color="FBEDE9" w:sz="2"/>
          <w:left w:val="single" w:color="9C3B2E" w:sz="24"/>
          <w:right w:val="single" w:color="FBEDE9" w:sz="2"/>
        </w:pBdr>
        <w:shd w:fill="FBEDE9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9C3B2E"/>
          <w:sz w:val="20"/>
          <w:szCs w:val="20"/>
        </w:rPr>
        <w:t xml:space="preserve">Limite assumée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La CA est auto-signée, adaptée à un contexte pédagogique/dev. Une plateforme de santé en production s'appuierait sur une PKI d'entreprise ou un service managé (Vault, ACM) avec rotation automatique des certificats.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3.3 Authentification cliente — SCRAM-SHA-256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 mécanisme d'authentification par défaut de MongoDB (SCRAM-SHA-256) est utilisé pour l'ensemble des comptes applicatifs (médecin, infirmier, laborantin, administrateur d'hôpital, auditeur, service technique). Les mots de passe ne transitent jamais en clair sur le réseau (protocole défi-réponse salé) et, combinés au TLS de la section précédente, bénéficient en plus du chiffrement de transport.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3.4 Authentification par certificat x.509 (mécanisme complémentaire)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En complément de SCRAM, le compte auditeur sécurité dispose d'un second mode d'authentification : MONGODB-X509. Un certificat client dédié est généré (certs/client-auditeur.pem) et son Subject (format RFC2253) est enregistré comme utilisateur dans la base $external 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db.getSiblingDB("$external").createUser({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user: "CN=auditeur_secu_x509,OU=NoSQL-Devoir,O=DIT-MasterIA,L=Dakar,ST=Dakar,C=SN",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roles: [{ role: "role_auditeur_securite", db: "audit_db" }],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L'intérêt pour ce use case : un accès d'audit peut être révoqué instantanément en révoquant/expirant un certificat, sans dépendre d'un mot de passe partagé — pertinent pour un rôle à privilèges sensibles comme l'auditeur sécurité.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4. Autorisation — RBAC métier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MongoDB ne propose pas de rôles métier prêts à l'emploi : les rôles intégrés (read, readWrite, dbAdmin...) sont génériques. Six rôles personnalisés ont donc été définis avec db.createRole(), chacun limité aux actions et collections strictement nécessaires à une fonction précise — traduction directe du principe de moindre privilège appliqué au contexte hospitalier.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4.1 Tableau des rôles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900"/>
        <w:gridCol w:w="2860"/>
      </w:tblGrid>
      <w:tr>
        <w:trPr>
          <w:tblHeader/>
        </w:trPr>
        <w:tc>
          <w:tcPr>
            <w:tcW w:type="dxa" w:w="17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7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Collections / ressources</w:t>
            </w:r>
          </w:p>
        </w:tc>
        <w:tc>
          <w:tcPr>
            <w:tcW w:type="dxa" w:w="19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Actions autorisées</w:t>
            </w:r>
          </w:p>
        </w:tc>
        <w:tc>
          <w:tcPr>
            <w:tcW w:type="dxa" w:w="286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Justification métier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role_medecin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dossiers_patients, resultats_labo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find, insert, update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Consultation et mise à jour du dossier ; pas de suppression (intégrité de l'historique médical, obligation légale de conservation).</w:t>
            </w:r>
          </w:p>
        </w:tc>
      </w:tr>
      <w:tr>
        <w:tc>
          <w:tcPr>
            <w:tcW w:type="dxa" w:w="17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role_infirmier</w:t>
            </w:r>
          </w:p>
        </w:tc>
        <w:tc>
          <w:tcPr>
            <w:tcW w:type="dxa" w:w="27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Vue v_dossiers_patients_infirmier (lecture seule), resultats_labo (lecture), suivi_soins (écriture)</w:t>
            </w:r>
          </w:p>
        </w:tc>
        <w:tc>
          <w:tcPr>
            <w:tcW w:type="dxa" w:w="1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find / find / find,insert,update</w:t>
            </w:r>
          </w:p>
        </w:tc>
        <w:tc>
          <w:tcPr>
            <w:tcW w:type="dxa" w:w="28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N'a pas besoin des champs cliniques les plus sensibles (diagnostics détaillés) pour les soins courants — masquage par vue.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role_laborantin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resultats_labo uniquement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find, insert, update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Produit les résultats de labo ; aucun accès au dossier clinique complet (cloisonnement producteur/interprète de la donnée).</w:t>
            </w:r>
          </w:p>
        </w:tc>
      </w:tr>
      <w:tr>
        <w:tc>
          <w:tcPr>
            <w:tcW w:type="dxa" w:w="17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role_admin_hopital</w:t>
            </w:r>
          </w:p>
        </w:tc>
        <w:tc>
          <w:tcPr>
            <w:tcW w:type="dxa" w:w="27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Base applicative (gestion de comptes)</w:t>
            </w:r>
          </w:p>
        </w:tc>
        <w:tc>
          <w:tcPr>
            <w:tcW w:type="dxa" w:w="1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userAdmin + actions limitées</w:t>
            </w:r>
          </w:p>
        </w:tc>
        <w:tc>
          <w:tcPr>
            <w:tcW w:type="dxa" w:w="28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Gère les comptes de son établissement ; explicitement PRIVÉ d'accès aux journaux d'audit (séparation admin fonctionnel / sécurité).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role_auditeur_securite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audit_db.access_logs, system.profile (lecture seule)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find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Vérifie qui a accédé à quoi, jamais le contenu médical lui-même (minimisation des données, need-to-know).</w:t>
            </w:r>
          </w:p>
        </w:tc>
      </w:tr>
      <w:tr>
        <w:tc>
          <w:tcPr>
            <w:tcW w:type="dxa" w:w="17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dbaCluster (clusterAdmin...)</w:t>
            </w:r>
          </w:p>
        </w:tc>
        <w:tc>
          <w:tcPr>
            <w:tcW w:type="dxa" w:w="27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Administration infrastructure (admin db)</w:t>
            </w:r>
          </w:p>
        </w:tc>
        <w:tc>
          <w:tcPr>
            <w:tcW w:type="dxa" w:w="1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clusterAdmin, backup, restore...</w:t>
            </w:r>
          </w:p>
        </w:tc>
        <w:tc>
          <w:tcPr>
            <w:tcW w:type="dxa" w:w="28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Opère le cluster (shards, réplication, sauvegardes) sans jamais lire une donnée patient.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A5C5B"/>
        </w:rPr>
        <w:t xml:space="preserve">4.2 Séparation des tâches (Segregation of Duties)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Un principe de sécurité classique — et particulièrement attendu dans un système de santé soumis à audit — est qu'aucun rôle ne cumule à la fois l'administration de l'infrastructure, l'accès aux données cliniques et la capacité de consulter les journaux d'audit. Le tableau ci-dessus matérialise ce cloisonnement 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 DBA cluster (dbaCluster) administre l'infrastructure mais n'a aucun privilège sur les bases applicatives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l'administrateur d'hôpital gère les comptes mais ne peut pas lire audit_db 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l'auditeur sécurité lit les journaux mais pas les données médicales elles-mêmes.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Ainsi, la compromission d'un seul compte (ou la malveillance d'un seul collaborateur) ne suffit jamais, seule, à la fois consulter des dossiers patients ET effacer ses traces dans les journaux d'audit.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4.3 Implémentation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Les rôles sont créés par init/05-rbac-roles.js et les comptes par init/06-create-app-users.js, chaque compte n'étant rattaché qu'à un unique rôle métier (voir extrait ci-dessous pour role_laborantin) 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appDb.createRole({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role: "role_laborantin",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privileges: [{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resource: { db: APP_DB_NAME, collection: "resultats_labo" },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actions: ["find", "insert", "update"],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}],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roles: [],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5. Protection des données au niveau champ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 RBAC de la section précédente opère au niveau collection. Or certains champs du dossier patient (diagnostic détaillé, antécédents psychiatriques, statut VIH/IST) exigent une protection plus fine que "toute la collection" ou "rien". Deux mécanismes complémentaires sont mis en œuvre.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5.1 Vues en lecture seule (masquage de champs)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Une vue MongoDB (createView) projette uniquement les champs autorisés pour le personnel infirmier, en excluant les champs cliniques les plus sensibles. Le rôle role_infirmier reçoit un accès uniquement sur cette vue, jamais sur la collection source 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appDb.createView("v_dossiers_patients_infirmier", "dossiers_patients", [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{ $project: {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patientId: 1, nom: 1, prenom: 1, dateNaissance: 1,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allergies: 1, traitementsEnCours: 1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diagnosticDetaille, antecedentsPsychiatriques,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diagnosticVihIst : volontairement absents =&gt; masqués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}},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]);</w:t>
      </w:r>
    </w:p>
    <w:p>
      <w:pPr>
        <w:pBdr>
          <w:top w:val="single" w:color="FBEDE9" w:sz="2"/>
          <w:bottom w:val="single" w:color="FBEDE9" w:sz="2"/>
          <w:left w:val="single" w:color="9C3B2E" w:sz="24"/>
          <w:right w:val="single" w:color="FBEDE9" w:sz="2"/>
        </w:pBdr>
        <w:shd w:fill="FBEDE9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9C3B2E"/>
          <w:sz w:val="20"/>
          <w:szCs w:val="20"/>
        </w:rPr>
        <w:t xml:space="preserve">Limite de l'approche par vue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Une vue protège contre un accès applicatif normal, mais pas contre un rôle sur-privilégié (ex. un DBA disposant de readWrite sur toute la base) qui interrogerait directement la collection source. D'où le second mécanisme ci-dessous.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5.2 Chiffrement côté client (CSFLE)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Pour le ou les champs les plus critiques (illustré ici avec diagnosticVihIst), Client-Side Field Level Encryption (CSFLE) est mis en œuvre en mode explicite : le champ est chiffré CÔTÉ CLIENT avant d'être envoyé au serveur, qui ne stocke et ne manipule jamais que du texte chiffré (AEAD_AES_256_CBC_HMAC_SHA_512). Même un compte disposant d'un accès direct à la collection (DBA compromis, sauvegarde exfiltrée) ne peut pas lire la valeur en clair sans posséder la clé de chiffrement (Data Encryption Key, elle-même protégée par une master key gérée via un fournisseur KMS).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Fonctionne en MongoDB Community Edition (le mode automatique nécessite mongocryptd/Enterprise, mais le mode explicite utilisé ici ne le requiert pas).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Démonstration complète fournie dans csfle/csfle_demo.py (Python + pymongo[encryption]).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 KMS "local" utilisé (csfle/generate-master-key.sh) est réservé à la démonstration ; en production, un KMS externe (AWS KMS, Azure Key Vault, GCP KMS, HashiCorp Vault) est requis pour la rotation et l'audit d'accès à la clé elle-même.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 chiffrement au niveau champ constitue une défense en profondeur : même en cas d'échec des couches précédentes (RBAC mal configuré, vue contournée, identifiant compromis avec des droits excessifs), la donnée la plus sensible reste illisible.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6. Audit et traçabilité des accès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 use case exige explicitement la centralisation des "logs d'accès aux dossiers de santé". Deux mécanismes complémentaires y répondent, choisis pour rester réalisables en MongoDB Community Edition.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6.1 Profiler natif (lectures et écritures)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 profiler MongoDB (db.setProfilingLevel(1, {slowms:0})) est activé sur la base applicative. L'authentification étant active sur le cluster, chaque entrée de system.profile contient le champ user identifiant le compte à l'origine de l'opération — une traçabilité nominative native, sans développement applicatif.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6.2 Service audit-watcher (Change Streams, écritures)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Un service Node.js dédié (audit-watcher/watcher.js) souscrit aux Change Streams des collections cliniques (dossiers_patients, resultats_labo) et journalise chaque insertion/modification dans audit_db.access_logs, lisible uniquement par role_auditeur_securite. Chaque entrée intègre le hash SHA-256 de l'entrée précédente (chaînage), permettant de détecter — sans le garantir cryptographiquement au niveau stockage — une altération a posteriori du journal.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6.3 Limite documentée : audit natif Enterprise-only</w:t>
      </w:r>
    </w:p>
    <w:p>
      <w:pPr>
        <w:pBdr>
          <w:top w:val="single" w:color="EAF2F8" w:sz="2"/>
          <w:bottom w:val="single" w:color="EAF2F8" w:sz="2"/>
          <w:left w:val="single" w:color="0E7C7B" w:sz="24"/>
          <w:right w:val="single" w:color="EAF2F8" w:sz="2"/>
        </w:pBdr>
        <w:shd w:fill="EAF2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MongoDB Enterprise / Atlas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 module d'audit natif de MongoDB (mongod --auditDestination --auditFilter, avec filtrage fin par rôle/action/utilisateur et export syslog) est réservé aux éditions Enterprise et Atlas. Ce devoir utilise volontairement MongoDB Community Edition (gratuite, plus proche d'un contexte de démonstration académique reproductible) : la combinaison profiler + audit-watcher en constitue l'équivalent fonctionnel, avec la limite suivante assumée : les Change Streams ne portent pas nativement l'identité de l'utilisateur authentifié à l'origine de l'écriture (à corréler manuellement avec system.profile pour une attribution nominative complète).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7. Sécurité infrastructure et conteneurs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7.1 Gestion des secrets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Aucun mot de passe, clé ou certificat n'est écrit en dur dans docker-compose.yml ou dans les images. Le fichier .env (non versionné, voir .gitignore) centralise les identifiants ; le keyFile interne est injecté via un Docker secret avec ownership aligné sur l'utilisateur non-root du conteneur MongoDB (uid 999).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7.2 Durcissement des conteneurs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Chaque conteneur MongoDB voit ses capabilities Linux réduites au strict nécessaire (cap_drop: ALL puis réintroduction ciblée de CHOWN, SETUID, SETGID, DAC_OVERRIDE — seulement ce qu'exige le mécanisme interne de démarrage non-root de l'image officielle) et no-new-privileges: true empêche toute élévation de privilège via un binaire setuid.</w:t>
      </w:r>
    </w:p>
    <w:p>
      <w:pPr>
        <w:pBdr>
          <w:top w:val="single" w:color="EAF2F8" w:sz="2"/>
          <w:bottom w:val="single" w:color="EAF2F8" w:sz="2"/>
          <w:left w:val="single" w:color="0E7C7B" w:sz="24"/>
          <w:right w:val="single" w:color="EAF2F8" w:sz="2"/>
        </w:pBdr>
        <w:shd w:fill="EAF2F8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Choix documenté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Nous avons délibérément renoncé à forcer user: 999:999 au niveau Compose : cela empêcherait l'entrypoint officiel d'effectuer le chown initial du volume de données au premier démarrage (limitation connue et documentée de l'image mongo officielle — voir docker-library/mongo#315). Le compromis retenu conserve le comportement natif sécurisé de l'image (démarrage root -&gt; drop de privilège interne vers l'utilisateur mongodb) tout en réduisant les capabilities Linux disponibles.</w:t>
      </w:r>
    </w:p>
    <w:p>
      <w:pPr>
        <w:pStyle w:val="Heading2"/>
        <w:spacing w:after="120" w:before="300"/>
      </w:pPr>
      <w:r>
        <w:rPr>
          <w:b/>
          <w:bCs/>
          <w:color w:val="0A5C5B"/>
        </w:rPr>
        <w:t xml:space="preserve">7.3 Isolation réseau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Voir section 2.2 — réseau backend-net non routable depuis l'hôte pour les config servers et les shards.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8. Tests de sécurité réalisés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 script scripts/03-test-security.sh automatise 8 tests de non-régression sécurité, exécutés après l'initialisation complète du cluster. Chaque test vérifie qu'un comportement attendu (accès autorisé OU refusé) est bien observé.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2260"/>
      </w:tblGrid>
      <w:tr>
        <w:trPr>
          <w:tblHeader/>
        </w:trPr>
        <w:tc>
          <w:tcPr>
            <w:tcW w:type="dxa" w:w="9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26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Connexion sans authentification</w:t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Refusée</w:t>
            </w:r>
          </w:p>
        </w:tc>
      </w:tr>
      <w:tr>
        <w:tc>
          <w:tcPr>
            <w:tcW w:type="dxa" w:w="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63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Connexion sans TLS</w:t>
            </w:r>
          </w:p>
        </w:tc>
        <w:tc>
          <w:tcPr>
            <w:tcW w:type="dxa" w:w="22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Refusée (requireTLS)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role_laborantin lit dossiers_patients</w:t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Refusée (hors périmètre RBAC)</w:t>
            </w:r>
          </w:p>
        </w:tc>
      </w:tr>
      <w:tr>
        <w:tc>
          <w:tcPr>
            <w:tcW w:type="dxa" w:w="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63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role_laborantin lit resultats_labo</w:t>
            </w:r>
          </w:p>
        </w:tc>
        <w:tc>
          <w:tcPr>
            <w:tcW w:type="dxa" w:w="22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Autorisée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role_infirmier lit dossiers_patients (collection source)</w:t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Refusée</w:t>
            </w:r>
          </w:p>
        </w:tc>
      </w:tr>
      <w:tr>
        <w:tc>
          <w:tcPr>
            <w:tcW w:type="dxa" w:w="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63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role_infirmier lit la vue masquée</w:t>
            </w:r>
          </w:p>
        </w:tc>
        <w:tc>
          <w:tcPr>
            <w:tcW w:type="dxa" w:w="22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Autorisée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Authentification avec mot de passe erroné</w:t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Refusée</w:t>
            </w:r>
          </w:p>
        </w:tc>
      </w:tr>
      <w:tr>
        <w:tc>
          <w:tcPr>
            <w:tcW w:type="dxa" w:w="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63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Authentification x.509 du compte auditeur</w:t>
            </w:r>
          </w:p>
        </w:tc>
        <w:tc>
          <w:tcPr>
            <w:tcW w:type="dxa" w:w="22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Autorisée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Les tests 3/4 et 5/6 démontrent conjointement le cloisonnement RBAC : chaque rôle a bien un accès autorisé ET un accès refusé, ce qui écarte une configuration "tout ouvert" accidentelle. Les résultats d'exécution (capture ou sortie brute) sont à archiver dans tests/ pour l'annexe du rapport et la soutenance.</w:t>
      </w:r>
    </w:p>
    <w:p>
      <w:pPr>
        <w:pBdr>
          <w:top w:val="single" w:color="FBEDE9" w:sz="2"/>
          <w:bottom w:val="single" w:color="FBEDE9" w:sz="2"/>
          <w:left w:val="single" w:color="9C3B2E" w:sz="24"/>
          <w:right w:val="single" w:color="FBEDE9" w:sz="2"/>
        </w:pBdr>
        <w:shd w:fill="FBEDE9" w:val="clear"/>
        <w:spacing w:after="200" w:before="160"/>
        <w:ind w:left="100"/>
      </w:pPr>
      <w:r>
        <w:rPr>
          <w:rFonts w:ascii="Calibri" w:cs="Calibri" w:eastAsia="Calibri" w:hAnsi="Calibri"/>
          <w:b/>
          <w:bCs/>
          <w:color w:val="9C3B2E"/>
          <w:sz w:val="20"/>
          <w:szCs w:val="20"/>
        </w:rPr>
        <w:t xml:space="preserve">À compléter avant la soutenance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Exécutez ./scripts/03-test-security.sh sur votre machine et collez la sortie (8/8 PASS attendus) dans tests/README.md, puis dans l'annexe de ce rapport / le support de présentation.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9. Limites assumées et perspectives de production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960"/>
      </w:tblGrid>
      <w:tr>
        <w:trPr>
          <w:tblHeader/>
        </w:trPr>
        <w:tc>
          <w:tcPr>
            <w:tcW w:type="dxa" w:w="26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Limite (contexte devoir)</w:t>
            </w:r>
          </w:p>
        </w:tc>
        <w:tc>
          <w:tcPr>
            <w:tcW w:type="dxa" w:w="290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960"/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Piste de production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Shards mono-nœud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Gérabilité en Docker Compose sur une seule machine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Répliquer chaque shard sur 3 membres (2 data-bearing + 1 arbiter minimum)</w:t>
            </w:r>
          </w:p>
        </w:tc>
      </w:tr>
      <w:tr>
        <w:tc>
          <w:tcPr>
            <w:tcW w:type="dxa" w:w="26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Audit natif indisponible</w:t>
            </w:r>
          </w:p>
        </w:tc>
        <w:tc>
          <w:tcPr>
            <w:tcW w:type="dxa" w:w="2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MongoDB Community Edition</w:t>
            </w:r>
          </w:p>
        </w:tc>
        <w:tc>
          <w:tcPr>
            <w:tcW w:type="dxa" w:w="39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MongoDB Enterprise/Atlas pour un audit natif filtrable + export SIEM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Chiffrement au repos applicatif (CSFLE) et non disque (WiredTiger)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WiredTiger encryption = Enterprise-only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Chiffrement de volume au niveau hôte (LUKS) en complément du CSFLE existant</w:t>
            </w:r>
          </w:p>
        </w:tc>
      </w:tr>
      <w:tr>
        <w:tc>
          <w:tcPr>
            <w:tcW w:type="dxa" w:w="26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KMS local pour CSFLE</w:t>
            </w:r>
          </w:p>
        </w:tc>
        <w:tc>
          <w:tcPr>
            <w:tcW w:type="dxa" w:w="2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Simplicité de démonstration</w:t>
            </w:r>
          </w:p>
        </w:tc>
        <w:tc>
          <w:tcPr>
            <w:tcW w:type="dxa" w:w="39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AWS KMS / Azure Key Vault / GCP KMS / HashiCorp Vault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 auto-signée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Contexte pédagogique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PKI d'entreprise ou service managé avec rotation automatique</w:t>
            </w:r>
          </w:p>
        </w:tc>
      </w:tr>
      <w:tr>
        <w:tc>
          <w:tcPr>
            <w:tcW w:type="dxa" w:w="26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Journal d'audit non-immuable au sens strict</w:t>
            </w:r>
          </w:p>
        </w:tc>
        <w:tc>
          <w:tcPr>
            <w:tcW w:type="dxa" w:w="290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MongoDB Community ne propose pas de collections WORM natives</w:t>
            </w:r>
          </w:p>
        </w:tc>
        <w:tc>
          <w:tcPr>
            <w:tcW w:type="dxa" w:w="3960"/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Réplication vers un stockage à immuabilité garantie (ex. S3 Object Lock) hors du cluster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Ces limites sont assumées et documentées plutôt que dissimulées : elles reflètent un arbitrage réaliste entre exhaustivité académique, reproductibilité (MongoDB Community, gratuite, exécutable sur une seule machine) et respect du périmètre du devoir (Partie 2 uniquement).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10. Conclusion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La Partie 2 de ce devoir a été traitée de façon intégrale et opérationnelle : un cluster MongoDB shardé à 4 shards, sécurisé de bout en bout — authentification interne par keyFile, TLS mutuel systématique, authentification cliente double (SCRAM-SHA-256 et x.509), autorisation RBAC métier à six rôles conçus spécifiquement pour un Dossier Patient Partagé, protection complémentaire au niveau champ (vues + CSFLE), traçabilité des accès (profiler + Change Streams), isolation réseau Docker et durcissement des conteneurs.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Au-delà de la simple conformité à l'énoncé ("authentification, gestion des autorisations etc."), l'ensemble a été pensé comme une réponse cohérente aux exigences réelles d'un système de santé numérique : moindre privilège, séparation des tâches, défense en profondeur, et transparence sur les limites d'une édition Community par rapport à Enterprise. Le code source complet, exécutable de bout en bout via trois scripts (01-deploy.sh, 02-run-init.sh, 03-test-security.sh), accompagne ce rapport.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Annexe A — Arborescence du projet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mongodb-security/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docker-compose.yml        # 10 services, 2 réseaux, secrets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.env.example               # Modèle de configuration (identifiants)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keyfile/generate-keyfile.sh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certs/generate-certs.sh    # CA + certificats serveur/client TLS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config/                    # mongod-configsvr.conf, mongod-shard.conf, mongos.conf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init/                      # 01 à 09 : bootstrap, RBAC, vues, audit (mongosh)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csfle/                     # Démo chiffrement côté client (Python)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audit-watcher/             # Service Node.js — Change Streams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scripts/                   # 01-deploy / 02-run-init / 03-test-security / 04-teardown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└── tests/                     # Résultats des tests de sécurité</w:t>
      </w:r>
    </w:p>
    <w:p>
      <w:pPr>
        <w:pStyle w:val="Heading1"/>
        <w:pBdr>
          <w:bottom w:val="single" w:color="0E7C7B" w:sz="6" w:space="4"/>
        </w:pBdr>
        <w:spacing w:after="200" w:before="400"/>
      </w:pPr>
      <w:r>
        <w:rPr>
          <w:b/>
          <w:bCs/>
          <w:color w:val="0F2A3F"/>
        </w:rPr>
        <w:t xml:space="preserve">Annexe B — Démarrage rapide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./scripts/01-deploy.sh        # génère les secrets, démarre le cluster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./scripts/02-run-init.sh      # replica sets, sharding, RBAC, audit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./scripts/03-test-security.sh # 8 tests de sécurité automatisés</w:t>
      </w:r>
      <w:r>
        <w:br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./scripts/04-teardown.sh [-v] # arrêt (option -v : purge des données)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2026-07-09T13:22:02.925Z</dcterms:created>
  <dcterms:modified xsi:type="dcterms:W3CDTF">2026-07-09T13:22:02.926Z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