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6262" w14:textId="5E3A3147" w:rsidR="001E19EE" w:rsidRDefault="00A86CE7" w:rsidP="00543B17">
      <w:pPr>
        <w:ind w:hanging="709"/>
        <w:jc w:val="center"/>
        <w:rPr>
          <w:b/>
          <w:bCs/>
          <w:sz w:val="64"/>
          <w:szCs w:val="64"/>
          <w:lang w:val="ru-RU"/>
        </w:rPr>
      </w:pPr>
      <w:r w:rsidRPr="001E19EE">
        <w:rPr>
          <w:b/>
          <w:bCs/>
          <w:sz w:val="64"/>
          <w:szCs w:val="64"/>
          <w:lang w:val="ru-RU"/>
        </w:rPr>
        <w:t>Лабораторная работа №1</w:t>
      </w:r>
    </w:p>
    <w:p w14:paraId="682F61EB" w14:textId="7F3A1E68" w:rsidR="001E19EE" w:rsidRPr="001E19EE" w:rsidRDefault="001E19EE" w:rsidP="00543B17">
      <w:pPr>
        <w:ind w:hanging="567"/>
        <w:jc w:val="center"/>
        <w:rPr>
          <w:sz w:val="32"/>
          <w:szCs w:val="32"/>
          <w:lang w:val="ru-RU"/>
        </w:rPr>
      </w:pPr>
      <w:r w:rsidRPr="001E19EE">
        <w:rPr>
          <w:sz w:val="32"/>
          <w:szCs w:val="32"/>
        </w:rPr>
        <w:t>Теоретические основы электробезопасности и диагностика подсистем питания вычислительной техники</w:t>
      </w:r>
    </w:p>
    <w:p w14:paraId="794CB6DB" w14:textId="3C8D8BED" w:rsidR="001E19EE" w:rsidRDefault="001E19EE" w:rsidP="00543B17">
      <w:pPr>
        <w:ind w:left="-851" w:firstLine="425"/>
        <w:rPr>
          <w:sz w:val="32"/>
          <w:szCs w:val="32"/>
          <w:lang w:val="ru-RU"/>
        </w:rPr>
      </w:pPr>
      <w:r>
        <w:rPr>
          <w:b/>
          <w:bCs/>
          <w:sz w:val="32"/>
          <w:szCs w:val="32"/>
          <w:lang w:val="ru-RU"/>
        </w:rPr>
        <w:t>Цель работы:</w:t>
      </w:r>
      <w:r>
        <w:rPr>
          <w:sz w:val="32"/>
          <w:szCs w:val="32"/>
          <w:lang w:val="ru-RU"/>
        </w:rPr>
        <w:t xml:space="preserve"> </w:t>
      </w:r>
      <w:r w:rsidRPr="001E19EE">
        <w:rPr>
          <w:sz w:val="32"/>
          <w:szCs w:val="32"/>
        </w:rPr>
        <w:t>Формирование практических навыков безопасной эксплуатации аппаратного обеспечения, а также освоение программно-аппаратных методов диагностики систем питания портативных и настольных ПК на базе различных архитектур (x86_64 и ARM).</w:t>
      </w:r>
    </w:p>
    <w:p w14:paraId="5F5DDC9B" w14:textId="77777777" w:rsidR="00CE0D5E" w:rsidRPr="00CE0D5E" w:rsidRDefault="00CE0D5E" w:rsidP="001E19EE">
      <w:pPr>
        <w:ind w:firstLine="720"/>
        <w:rPr>
          <w:sz w:val="32"/>
          <w:szCs w:val="32"/>
          <w:lang w:val="ru-RU"/>
        </w:rPr>
      </w:pPr>
    </w:p>
    <w:p w14:paraId="49B267CF" w14:textId="23B72C88" w:rsidR="001E19EE" w:rsidRDefault="00CE0D5E" w:rsidP="00543B17">
      <w:pPr>
        <w:ind w:hanging="851"/>
        <w:jc w:val="center"/>
        <w:rPr>
          <w:sz w:val="32"/>
          <w:szCs w:val="32"/>
          <w:lang w:val="ru-RU"/>
        </w:rPr>
      </w:pPr>
      <w:r>
        <w:rPr>
          <w:b/>
          <w:bCs/>
          <w:sz w:val="32"/>
          <w:szCs w:val="32"/>
          <w:lang w:val="ru-RU"/>
        </w:rPr>
        <w:t>Раздел</w:t>
      </w:r>
      <w:r w:rsidR="001E19EE" w:rsidRPr="001E19EE">
        <w:rPr>
          <w:b/>
          <w:bCs/>
          <w:sz w:val="32"/>
          <w:szCs w:val="32"/>
          <w:lang w:val="ru-RU"/>
        </w:rPr>
        <w:t xml:space="preserve"> №1.</w:t>
      </w:r>
      <w:r>
        <w:rPr>
          <w:b/>
          <w:bCs/>
          <w:sz w:val="32"/>
          <w:szCs w:val="32"/>
          <w:lang w:val="ru-RU"/>
        </w:rPr>
        <w:t xml:space="preserve"> </w:t>
      </w:r>
      <w:r w:rsidRPr="00CE0D5E">
        <w:rPr>
          <w:b/>
          <w:bCs/>
          <w:sz w:val="32"/>
          <w:szCs w:val="32"/>
        </w:rPr>
        <w:t>Теоретические основы электробезопасности и физика заземления</w:t>
      </w:r>
    </w:p>
    <w:p w14:paraId="22D8D450" w14:textId="77777777" w:rsidR="00742122" w:rsidRPr="00742122" w:rsidRDefault="00742122" w:rsidP="00543B17">
      <w:pPr>
        <w:pStyle w:val="a7"/>
        <w:numPr>
          <w:ilvl w:val="0"/>
          <w:numId w:val="2"/>
        </w:numPr>
        <w:ind w:left="-142" w:hanging="284"/>
        <w:rPr>
          <w:sz w:val="32"/>
          <w:szCs w:val="32"/>
        </w:rPr>
      </w:pPr>
      <w:r w:rsidRPr="00742122">
        <w:rPr>
          <w:sz w:val="32"/>
          <w:szCs w:val="32"/>
        </w:rPr>
        <w:t>Внутренние компоненты блоков питания (в первую очередь высоковольтные конденсаторы) способны удерживать опасный для жизни электрический заряд длительное время после полного отключения устройства от сети. Проведение любых ремонтных или диагностических работ без предварительного рассеивания остаточного заряда (разрядки конденсаторов) категорически запрещено.</w:t>
      </w:r>
    </w:p>
    <w:p w14:paraId="3AA6BFB6" w14:textId="4156B035" w:rsidR="00742122" w:rsidRDefault="00742122" w:rsidP="00543B17">
      <w:pPr>
        <w:pStyle w:val="a7"/>
        <w:numPr>
          <w:ilvl w:val="0"/>
          <w:numId w:val="2"/>
        </w:numPr>
        <w:ind w:left="-142" w:hanging="284"/>
        <w:rPr>
          <w:sz w:val="32"/>
          <w:szCs w:val="32"/>
          <w:lang w:val="ru-RU"/>
        </w:rPr>
      </w:pPr>
      <w:r w:rsidRPr="00742122">
        <w:rPr>
          <w:sz w:val="32"/>
          <w:szCs w:val="32"/>
        </w:rPr>
        <w:t>Заземление выполняет роль защитного барьера, создавая преднамеренное электрическое соединение металлических элементов корпуса ПК с землей. Физический принцип основан на законе Ома: ток течет по пути наименьшего сопротивления. Сопротивление заземляющего контура мало по сравнению с сопротивлением человеческого тела. В случае п</w:t>
      </w:r>
      <w:proofErr w:type="spellStart"/>
      <w:r w:rsidR="00AE5719">
        <w:rPr>
          <w:sz w:val="32"/>
          <w:szCs w:val="32"/>
          <w:lang w:val="ru-RU"/>
        </w:rPr>
        <w:t>овреждения</w:t>
      </w:r>
      <w:proofErr w:type="spellEnd"/>
      <w:r w:rsidRPr="00742122">
        <w:rPr>
          <w:sz w:val="32"/>
          <w:szCs w:val="32"/>
        </w:rPr>
        <w:t xml:space="preserve"> фазы на корпус устройства опасный потенциал мгновенно сбрасывается в землю, активируя защитные автоматы и предотвращая поражение человека электрическим током.</w:t>
      </w:r>
    </w:p>
    <w:p w14:paraId="658DDAB9" w14:textId="77777777" w:rsidR="00742122" w:rsidRPr="00742122" w:rsidRDefault="00742122" w:rsidP="00742122">
      <w:pPr>
        <w:rPr>
          <w:sz w:val="32"/>
          <w:szCs w:val="32"/>
          <w:lang w:val="ru-RU"/>
        </w:rPr>
      </w:pPr>
    </w:p>
    <w:p w14:paraId="5CDFA585" w14:textId="50A2F9FF" w:rsidR="00742122" w:rsidRPr="00742122" w:rsidRDefault="002455B8" w:rsidP="002455B8">
      <w:pPr>
        <w:ind w:hanging="851"/>
        <w:jc w:val="center"/>
        <w:rPr>
          <w:b/>
          <w:bCs/>
          <w:sz w:val="32"/>
          <w:szCs w:val="32"/>
          <w:lang w:val="ru-RU"/>
        </w:rPr>
      </w:pPr>
      <w:r>
        <w:rPr>
          <w:b/>
          <w:bCs/>
          <w:sz w:val="32"/>
          <w:szCs w:val="32"/>
          <w:lang w:val="ru-RU"/>
        </w:rPr>
        <w:t xml:space="preserve"> </w:t>
      </w:r>
      <w:r w:rsidR="00742122" w:rsidRPr="00742122">
        <w:rPr>
          <w:b/>
          <w:bCs/>
          <w:sz w:val="32"/>
          <w:szCs w:val="32"/>
        </w:rPr>
        <w:t xml:space="preserve">Раздел </w:t>
      </w:r>
      <w:r w:rsidR="00742122">
        <w:rPr>
          <w:b/>
          <w:bCs/>
          <w:sz w:val="32"/>
          <w:szCs w:val="32"/>
          <w:lang w:val="ru-RU"/>
        </w:rPr>
        <w:t>№</w:t>
      </w:r>
      <w:r w:rsidR="00742122" w:rsidRPr="00742122">
        <w:rPr>
          <w:b/>
          <w:bCs/>
          <w:sz w:val="32"/>
          <w:szCs w:val="32"/>
        </w:rPr>
        <w:t>2. Аппаратный осмотр и классификация интерфейсов питания</w:t>
      </w:r>
    </w:p>
    <w:p w14:paraId="5E681B8D" w14:textId="177E21B4" w:rsidR="001E19EE" w:rsidRDefault="001E19EE" w:rsidP="002455B8">
      <w:pPr>
        <w:ind w:hanging="426"/>
        <w:rPr>
          <w:sz w:val="32"/>
          <w:szCs w:val="32"/>
          <w:lang w:val="ru-RU"/>
        </w:rPr>
      </w:pPr>
      <w:r>
        <w:rPr>
          <w:sz w:val="32"/>
          <w:szCs w:val="32"/>
          <w:lang w:val="ru-RU"/>
        </w:rPr>
        <w:t>Характеристики блока питания ноутбука:</w:t>
      </w:r>
    </w:p>
    <w:p w14:paraId="7C9FD938" w14:textId="613C2EFB" w:rsidR="001E19EE" w:rsidRPr="001E19EE" w:rsidRDefault="001E19EE" w:rsidP="002455B8">
      <w:pPr>
        <w:pStyle w:val="a7"/>
        <w:numPr>
          <w:ilvl w:val="0"/>
          <w:numId w:val="1"/>
        </w:numPr>
        <w:ind w:left="-142" w:hanging="284"/>
        <w:rPr>
          <w:sz w:val="32"/>
          <w:szCs w:val="32"/>
          <w:lang w:val="ru-RU"/>
        </w:rPr>
      </w:pPr>
      <w:r>
        <w:rPr>
          <w:sz w:val="32"/>
          <w:szCs w:val="32"/>
          <w:lang w:val="ru-RU"/>
        </w:rPr>
        <w:t>Вход (переменный ток): 100-240</w:t>
      </w:r>
      <w:r w:rsidRPr="001E19EE">
        <w:rPr>
          <w:sz w:val="32"/>
          <w:szCs w:val="32"/>
          <w:lang w:val="ru-RU"/>
        </w:rPr>
        <w:t xml:space="preserve"> </w:t>
      </w:r>
      <w:r>
        <w:rPr>
          <w:sz w:val="32"/>
          <w:szCs w:val="32"/>
          <w:lang w:val="en-US"/>
        </w:rPr>
        <w:t>V</w:t>
      </w:r>
      <w:r w:rsidRPr="001E19EE">
        <w:rPr>
          <w:sz w:val="32"/>
          <w:szCs w:val="32"/>
          <w:lang w:val="ru-RU"/>
        </w:rPr>
        <w:t xml:space="preserve"> ~ 50-60 </w:t>
      </w:r>
      <w:r>
        <w:rPr>
          <w:sz w:val="32"/>
          <w:szCs w:val="32"/>
          <w:lang w:val="en-US"/>
        </w:rPr>
        <w:t>Hz</w:t>
      </w:r>
      <w:r w:rsidRPr="001E19EE">
        <w:rPr>
          <w:sz w:val="32"/>
          <w:szCs w:val="32"/>
          <w:lang w:val="ru-RU"/>
        </w:rPr>
        <w:t xml:space="preserve">, 2.5 </w:t>
      </w:r>
      <w:r>
        <w:rPr>
          <w:sz w:val="32"/>
          <w:szCs w:val="32"/>
          <w:lang w:val="en-US"/>
        </w:rPr>
        <w:t>A</w:t>
      </w:r>
      <w:r w:rsidRPr="001E19EE">
        <w:rPr>
          <w:sz w:val="32"/>
          <w:szCs w:val="32"/>
          <w:lang w:val="ru-RU"/>
        </w:rPr>
        <w:t>;</w:t>
      </w:r>
    </w:p>
    <w:p w14:paraId="16340376" w14:textId="64612846" w:rsidR="001E19EE" w:rsidRPr="001E19EE" w:rsidRDefault="001E19EE" w:rsidP="002455B8">
      <w:pPr>
        <w:pStyle w:val="a7"/>
        <w:numPr>
          <w:ilvl w:val="0"/>
          <w:numId w:val="1"/>
        </w:numPr>
        <w:ind w:left="-142" w:hanging="142"/>
        <w:rPr>
          <w:sz w:val="32"/>
          <w:szCs w:val="32"/>
          <w:lang w:val="ru-RU"/>
        </w:rPr>
      </w:pPr>
      <w:r>
        <w:rPr>
          <w:sz w:val="32"/>
          <w:szCs w:val="32"/>
          <w:lang w:val="ru-RU"/>
        </w:rPr>
        <w:lastRenderedPageBreak/>
        <w:t xml:space="preserve">Выход (постоянный ток): 20.0 </w:t>
      </w:r>
      <w:r>
        <w:rPr>
          <w:sz w:val="32"/>
          <w:szCs w:val="32"/>
          <w:lang w:val="en-US"/>
        </w:rPr>
        <w:t>V</w:t>
      </w:r>
      <w:r>
        <w:rPr>
          <w:sz w:val="32"/>
          <w:szCs w:val="32"/>
          <w:lang w:val="ru-RU"/>
        </w:rPr>
        <w:t xml:space="preserve"> </w:t>
      </w:r>
      <w:r w:rsidRPr="001E19EE">
        <w:rPr>
          <w:rFonts w:ascii="Cambria Math" w:hAnsi="Cambria Math" w:cs="Cambria Math"/>
          <w:sz w:val="32"/>
          <w:szCs w:val="32"/>
        </w:rPr>
        <w:t>⎓</w:t>
      </w:r>
      <w:r>
        <w:rPr>
          <w:sz w:val="32"/>
          <w:szCs w:val="32"/>
          <w:lang w:val="ru-RU"/>
        </w:rPr>
        <w:t xml:space="preserve"> 7.5 </w:t>
      </w:r>
      <w:r>
        <w:rPr>
          <w:sz w:val="32"/>
          <w:szCs w:val="32"/>
          <w:lang w:val="en-US"/>
        </w:rPr>
        <w:t>A</w:t>
      </w:r>
      <w:r w:rsidRPr="001E19EE">
        <w:rPr>
          <w:sz w:val="32"/>
          <w:szCs w:val="32"/>
          <w:lang w:val="ru-RU"/>
        </w:rPr>
        <w:t>;</w:t>
      </w:r>
    </w:p>
    <w:p w14:paraId="67AE1627" w14:textId="63E46198" w:rsidR="001E19EE" w:rsidRPr="00742122" w:rsidRDefault="001E19EE" w:rsidP="002455B8">
      <w:pPr>
        <w:ind w:left="-851" w:firstLine="709"/>
        <w:rPr>
          <w:rFonts w:eastAsiaTheme="minorEastAsia"/>
          <w:sz w:val="32"/>
          <w:szCs w:val="32"/>
          <w:lang w:val="ru-RU"/>
        </w:rPr>
      </w:pPr>
      <w:r>
        <w:rPr>
          <w:sz w:val="32"/>
          <w:szCs w:val="32"/>
          <w:lang w:val="ru-RU"/>
        </w:rPr>
        <w:t>Мощность выхода рассчитывается по формуле:</w:t>
      </w:r>
      <w:r w:rsidR="00742122">
        <w:rPr>
          <w:sz w:val="32"/>
          <w:szCs w:val="32"/>
          <w:lang w:val="ru-RU"/>
        </w:rPr>
        <w:t xml:space="preserve"> </w:t>
      </w:r>
      <m:oMath>
        <m:r>
          <w:rPr>
            <w:rFonts w:ascii="Cambria Math" w:hAnsi="Cambria Math"/>
            <w:sz w:val="32"/>
            <w:szCs w:val="32"/>
            <w:lang w:val="en-US"/>
          </w:rPr>
          <m:t>P</m:t>
        </m:r>
        <m:r>
          <w:rPr>
            <w:rFonts w:ascii="Cambria Math" w:hAnsi="Cambria Math"/>
            <w:sz w:val="32"/>
            <w:szCs w:val="32"/>
            <w:lang w:val="ru-RU"/>
          </w:rPr>
          <m:t>=</m:t>
        </m:r>
        <m:r>
          <w:rPr>
            <w:rFonts w:ascii="Cambria Math" w:hAnsi="Cambria Math"/>
            <w:sz w:val="32"/>
            <w:szCs w:val="32"/>
            <w:lang w:val="en-US"/>
          </w:rPr>
          <m:t>UI</m:t>
        </m:r>
      </m:oMath>
      <w:r w:rsidRPr="00742122">
        <w:rPr>
          <w:rFonts w:eastAsiaTheme="minorEastAsia"/>
          <w:sz w:val="32"/>
          <w:szCs w:val="32"/>
          <w:lang w:val="ru-RU"/>
        </w:rPr>
        <w:t>.</w:t>
      </w:r>
    </w:p>
    <w:p w14:paraId="00423CAA" w14:textId="74D991D4" w:rsidR="001E19EE" w:rsidRPr="00CE0D5E" w:rsidRDefault="001E19EE" w:rsidP="002455B8">
      <w:pPr>
        <w:ind w:left="-851" w:firstLine="709"/>
        <w:rPr>
          <w:rFonts w:eastAsiaTheme="minorEastAsia"/>
          <w:sz w:val="32"/>
          <w:szCs w:val="32"/>
          <w:lang w:val="ru-RU"/>
        </w:rPr>
      </w:pPr>
      <w:r>
        <w:rPr>
          <w:rFonts w:eastAsiaTheme="minorEastAsia"/>
          <w:sz w:val="32"/>
          <w:szCs w:val="32"/>
          <w:lang w:val="ru-RU"/>
        </w:rPr>
        <w:t>Тогда мощность блока питания:</w:t>
      </w:r>
      <w:r w:rsidR="00742122">
        <w:rPr>
          <w:rFonts w:eastAsiaTheme="minorEastAsia"/>
          <w:sz w:val="32"/>
          <w:szCs w:val="32"/>
          <w:lang w:val="ru-RU"/>
        </w:rPr>
        <w:t xml:space="preserve"> </w:t>
      </w:r>
      <m:oMath>
        <m:r>
          <w:rPr>
            <w:rFonts w:ascii="Cambria Math" w:eastAsiaTheme="minorEastAsia" w:hAnsi="Cambria Math"/>
            <w:sz w:val="32"/>
            <w:szCs w:val="32"/>
            <w:lang w:val="ru-RU"/>
          </w:rPr>
          <m:t>20×7.5=150</m:t>
        </m:r>
      </m:oMath>
      <w:r w:rsidR="00CE0D5E" w:rsidRPr="00CE0D5E">
        <w:rPr>
          <w:rFonts w:eastAsiaTheme="minorEastAsia"/>
          <w:sz w:val="32"/>
          <w:szCs w:val="32"/>
          <w:lang w:val="ru-RU"/>
        </w:rPr>
        <w:t xml:space="preserve"> (</w:t>
      </w:r>
      <w:r w:rsidR="00CE0D5E">
        <w:rPr>
          <w:rFonts w:eastAsiaTheme="minorEastAsia"/>
          <w:sz w:val="32"/>
          <w:szCs w:val="32"/>
          <w:lang w:val="en-US"/>
        </w:rPr>
        <w:t>W</w:t>
      </w:r>
      <w:r w:rsidR="00CE0D5E" w:rsidRPr="00CE0D5E">
        <w:rPr>
          <w:rFonts w:eastAsiaTheme="minorEastAsia"/>
          <w:sz w:val="32"/>
          <w:szCs w:val="32"/>
          <w:lang w:val="ru-RU"/>
        </w:rPr>
        <w:t>).</w:t>
      </w:r>
    </w:p>
    <w:p w14:paraId="262026F2" w14:textId="4AD4C395" w:rsidR="001E19EE" w:rsidRPr="00AE5719" w:rsidRDefault="00CE0D5E" w:rsidP="002455B8">
      <w:pPr>
        <w:ind w:left="-851" w:firstLine="709"/>
        <w:rPr>
          <w:rFonts w:eastAsiaTheme="minorEastAsia"/>
          <w:sz w:val="32"/>
          <w:szCs w:val="32"/>
          <w:lang w:val="ru-RU"/>
        </w:rPr>
      </w:pPr>
      <w:r>
        <w:rPr>
          <w:rFonts w:eastAsiaTheme="minorEastAsia"/>
          <w:sz w:val="32"/>
          <w:szCs w:val="32"/>
          <w:lang w:val="ru-RU"/>
        </w:rPr>
        <w:t xml:space="preserve">У ноутбука основной порт зарядки — круглый проприетарный, но также есть возможность зарядки через </w:t>
      </w:r>
      <w:r>
        <w:rPr>
          <w:rFonts w:eastAsiaTheme="minorEastAsia"/>
          <w:sz w:val="32"/>
          <w:szCs w:val="32"/>
          <w:lang w:val="en-US"/>
        </w:rPr>
        <w:t>USB</w:t>
      </w:r>
      <w:r w:rsidRPr="00CE0D5E">
        <w:rPr>
          <w:rFonts w:eastAsiaTheme="minorEastAsia"/>
          <w:sz w:val="32"/>
          <w:szCs w:val="32"/>
          <w:lang w:val="ru-RU"/>
        </w:rPr>
        <w:t>-</w:t>
      </w:r>
      <w:r>
        <w:rPr>
          <w:rFonts w:eastAsiaTheme="minorEastAsia"/>
          <w:sz w:val="32"/>
          <w:szCs w:val="32"/>
          <w:lang w:val="en-US"/>
        </w:rPr>
        <w:t>C</w:t>
      </w:r>
      <w:r w:rsidRPr="00CE0D5E">
        <w:rPr>
          <w:rFonts w:eastAsiaTheme="minorEastAsia"/>
          <w:sz w:val="32"/>
          <w:szCs w:val="32"/>
          <w:lang w:val="ru-RU"/>
        </w:rPr>
        <w:t xml:space="preserve"> </w:t>
      </w:r>
      <w:r>
        <w:rPr>
          <w:rFonts w:eastAsiaTheme="minorEastAsia"/>
          <w:sz w:val="32"/>
          <w:szCs w:val="32"/>
          <w:lang w:val="ru-RU"/>
        </w:rPr>
        <w:t xml:space="preserve">порт с пропускной мощностью в 100 </w:t>
      </w:r>
      <w:r>
        <w:rPr>
          <w:rFonts w:eastAsiaTheme="minorEastAsia"/>
          <w:sz w:val="32"/>
          <w:szCs w:val="32"/>
          <w:lang w:val="en-US"/>
        </w:rPr>
        <w:t>W</w:t>
      </w:r>
      <w:r w:rsidR="00742122" w:rsidRPr="00742122">
        <w:rPr>
          <w:rFonts w:eastAsiaTheme="minorEastAsia"/>
          <w:sz w:val="32"/>
          <w:szCs w:val="32"/>
          <w:lang w:val="ru-RU"/>
        </w:rPr>
        <w:t>.</w:t>
      </w:r>
    </w:p>
    <w:p w14:paraId="040CD45A" w14:textId="568BB580" w:rsidR="00742122" w:rsidRDefault="00742122" w:rsidP="00905010">
      <w:pPr>
        <w:ind w:left="-851" w:firstLine="709"/>
        <w:rPr>
          <w:rFonts w:eastAsiaTheme="minorEastAsia"/>
          <w:sz w:val="32"/>
          <w:szCs w:val="32"/>
          <w:lang w:val="ru-RU"/>
        </w:rPr>
      </w:pPr>
      <w:r w:rsidRPr="00742122">
        <w:rPr>
          <w:rFonts w:eastAsiaTheme="minorEastAsia"/>
          <w:b/>
          <w:bCs/>
          <w:sz w:val="32"/>
          <w:szCs w:val="32"/>
          <w:lang w:val="ru-RU"/>
        </w:rPr>
        <w:t>Вывод:</w:t>
      </w:r>
      <w:r w:rsidRPr="00742122">
        <w:rPr>
          <w:rFonts w:eastAsiaTheme="minorEastAsia"/>
          <w:sz w:val="32"/>
          <w:szCs w:val="32"/>
          <w:lang w:val="ru-RU"/>
        </w:rPr>
        <w:t xml:space="preserve"> </w:t>
      </w:r>
      <w:r w:rsidRPr="00742122">
        <w:rPr>
          <w:rFonts w:eastAsiaTheme="minorEastAsia"/>
          <w:sz w:val="32"/>
          <w:szCs w:val="32"/>
        </w:rPr>
        <w:t>Использование несовместимых адаптеров питания недопустимо. Разница в вольтаже или низкое качество фильтрации тока в неоригинальном адаптере ведут к критическому повреждению цепей питания на материнской плате и одновременному выходу из строя как самого адаптера, так и компьютера.</w:t>
      </w:r>
    </w:p>
    <w:p w14:paraId="5A671E77" w14:textId="77777777" w:rsidR="00905010" w:rsidRPr="00905010" w:rsidRDefault="00905010" w:rsidP="00905010">
      <w:pPr>
        <w:ind w:left="-851" w:firstLine="709"/>
        <w:rPr>
          <w:rFonts w:eastAsiaTheme="minorEastAsia"/>
          <w:sz w:val="32"/>
          <w:szCs w:val="32"/>
          <w:lang w:val="ru-RU"/>
        </w:rPr>
      </w:pPr>
    </w:p>
    <w:sectPr w:rsidR="00905010" w:rsidRPr="009050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173CF"/>
    <w:multiLevelType w:val="multilevel"/>
    <w:tmpl w:val="5AF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441AC"/>
    <w:multiLevelType w:val="hybridMultilevel"/>
    <w:tmpl w:val="62F029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4F4C5D6C"/>
    <w:multiLevelType w:val="hybridMultilevel"/>
    <w:tmpl w:val="90CEBC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434981079">
    <w:abstractNumId w:val="1"/>
  </w:num>
  <w:num w:numId="2" w16cid:durableId="1636131838">
    <w:abstractNumId w:val="2"/>
  </w:num>
  <w:num w:numId="3" w16cid:durableId="1970479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E7"/>
    <w:rsid w:val="001E19EE"/>
    <w:rsid w:val="002455B8"/>
    <w:rsid w:val="003F0C4D"/>
    <w:rsid w:val="004C14BD"/>
    <w:rsid w:val="00543B17"/>
    <w:rsid w:val="00742122"/>
    <w:rsid w:val="00754BB4"/>
    <w:rsid w:val="007B73F7"/>
    <w:rsid w:val="00905010"/>
    <w:rsid w:val="00A54331"/>
    <w:rsid w:val="00A86CE7"/>
    <w:rsid w:val="00AE5719"/>
    <w:rsid w:val="00BD3FB5"/>
    <w:rsid w:val="00CE0D5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37D0"/>
  <w15:chartTrackingRefBased/>
  <w15:docId w15:val="{5AB241B7-9E3D-4387-B85F-659E6407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8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8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86C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86C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86C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86C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6C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6C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6C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6C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86C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86C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86C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86C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86C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86CE7"/>
    <w:rPr>
      <w:rFonts w:eastAsiaTheme="majorEastAsia" w:cstheme="majorBidi"/>
      <w:color w:val="595959" w:themeColor="text1" w:themeTint="A6"/>
    </w:rPr>
  </w:style>
  <w:style w:type="character" w:customStyle="1" w:styleId="80">
    <w:name w:val="Заголовок 8 Знак"/>
    <w:basedOn w:val="a0"/>
    <w:link w:val="8"/>
    <w:uiPriority w:val="9"/>
    <w:semiHidden/>
    <w:rsid w:val="00A86C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86CE7"/>
    <w:rPr>
      <w:rFonts w:eastAsiaTheme="majorEastAsia" w:cstheme="majorBidi"/>
      <w:color w:val="272727" w:themeColor="text1" w:themeTint="D8"/>
    </w:rPr>
  </w:style>
  <w:style w:type="paragraph" w:styleId="a3">
    <w:name w:val="Title"/>
    <w:basedOn w:val="a"/>
    <w:next w:val="a"/>
    <w:link w:val="a4"/>
    <w:uiPriority w:val="10"/>
    <w:qFormat/>
    <w:rsid w:val="00A8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86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C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86C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86CE7"/>
    <w:pPr>
      <w:spacing w:before="160"/>
      <w:jc w:val="center"/>
    </w:pPr>
    <w:rPr>
      <w:i/>
      <w:iCs/>
      <w:color w:val="404040" w:themeColor="text1" w:themeTint="BF"/>
    </w:rPr>
  </w:style>
  <w:style w:type="character" w:customStyle="1" w:styleId="22">
    <w:name w:val="Цитата 2 Знак"/>
    <w:basedOn w:val="a0"/>
    <w:link w:val="21"/>
    <w:uiPriority w:val="29"/>
    <w:rsid w:val="00A86CE7"/>
    <w:rPr>
      <w:i/>
      <w:iCs/>
      <w:color w:val="404040" w:themeColor="text1" w:themeTint="BF"/>
    </w:rPr>
  </w:style>
  <w:style w:type="paragraph" w:styleId="a7">
    <w:name w:val="List Paragraph"/>
    <w:basedOn w:val="a"/>
    <w:uiPriority w:val="34"/>
    <w:qFormat/>
    <w:rsid w:val="00A86CE7"/>
    <w:pPr>
      <w:ind w:left="720"/>
      <w:contextualSpacing/>
    </w:pPr>
  </w:style>
  <w:style w:type="character" w:styleId="a8">
    <w:name w:val="Intense Emphasis"/>
    <w:basedOn w:val="a0"/>
    <w:uiPriority w:val="21"/>
    <w:qFormat/>
    <w:rsid w:val="00A86CE7"/>
    <w:rPr>
      <w:i/>
      <w:iCs/>
      <w:color w:val="2F5496" w:themeColor="accent1" w:themeShade="BF"/>
    </w:rPr>
  </w:style>
  <w:style w:type="paragraph" w:styleId="a9">
    <w:name w:val="Intense Quote"/>
    <w:basedOn w:val="a"/>
    <w:next w:val="a"/>
    <w:link w:val="aa"/>
    <w:uiPriority w:val="30"/>
    <w:qFormat/>
    <w:rsid w:val="00A8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86CE7"/>
    <w:rPr>
      <w:i/>
      <w:iCs/>
      <w:color w:val="2F5496" w:themeColor="accent1" w:themeShade="BF"/>
    </w:rPr>
  </w:style>
  <w:style w:type="character" w:styleId="ab">
    <w:name w:val="Intense Reference"/>
    <w:basedOn w:val="a0"/>
    <w:uiPriority w:val="32"/>
    <w:qFormat/>
    <w:rsid w:val="00A86CE7"/>
    <w:rPr>
      <w:b/>
      <w:bCs/>
      <w:smallCaps/>
      <w:color w:val="2F5496" w:themeColor="accent1" w:themeShade="BF"/>
      <w:spacing w:val="5"/>
    </w:rPr>
  </w:style>
  <w:style w:type="character" w:styleId="ac">
    <w:name w:val="Placeholder Text"/>
    <w:basedOn w:val="a0"/>
    <w:uiPriority w:val="99"/>
    <w:semiHidden/>
    <w:rsid w:val="001E19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300</Words>
  <Characters>1715</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Дикевич</dc:creator>
  <cp:keywords/>
  <dc:description/>
  <cp:lastModifiedBy>Егор Дикевич</cp:lastModifiedBy>
  <cp:revision>7</cp:revision>
  <dcterms:created xsi:type="dcterms:W3CDTF">2026-09-14T08:54:00Z</dcterms:created>
  <dcterms:modified xsi:type="dcterms:W3CDTF">2026-09-21T09:03:00Z</dcterms:modified>
</cp:coreProperties>
</file>