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95A5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1. Summary of Predictive Insights</w:t>
      </w:r>
    </w:p>
    <w:p w14:paraId="1448BB74" w14:textId="77777777" w:rsid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Our predictive model focused on identifying customers most at risk of delinquency to support </w:t>
      </w:r>
      <w:proofErr w:type="spellStart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Geldium’s</w:t>
      </w:r>
      <w:proofErr w:type="spellEnd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Collections team in prioritizing outreach. The key findings are:</w:t>
      </w:r>
    </w:p>
    <w:p w14:paraId="4BB5C270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</w:p>
    <w:p w14:paraId="454C02D1" w14:textId="77777777" w:rsidR="006D09F1" w:rsidRPr="006D09F1" w:rsidRDefault="006D09F1" w:rsidP="006D09F1">
      <w:pPr>
        <w:numPr>
          <w:ilvl w:val="0"/>
          <w:numId w:val="10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Missed Payments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: Customers with 2 or more missed payments are </w:t>
      </w: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3.4× more likely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to become delinquent.</w:t>
      </w:r>
    </w:p>
    <w:p w14:paraId="1014F62D" w14:textId="77777777" w:rsidR="006D09F1" w:rsidRPr="006D09F1" w:rsidRDefault="006D09F1" w:rsidP="006D09F1">
      <w:pPr>
        <w:numPr>
          <w:ilvl w:val="0"/>
          <w:numId w:val="10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High Credit Utilization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: Utilization rates over 80% significantly increase delinquency likelihood, especially among </w:t>
      </w: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customers under 30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.</w:t>
      </w:r>
    </w:p>
    <w:p w14:paraId="0F34E58E" w14:textId="77777777" w:rsidR="006D09F1" w:rsidRPr="006D09F1" w:rsidRDefault="006D09F1" w:rsidP="006D09F1">
      <w:pPr>
        <w:numPr>
          <w:ilvl w:val="0"/>
          <w:numId w:val="10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Debt-to-Income Ratio (DTI)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: A DTI ratio &gt; 0.5 correlates strongly with repayment challenges, particularly for </w:t>
      </w: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low-to-mid-income earners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.</w:t>
      </w:r>
    </w:p>
    <w:p w14:paraId="7B573DD1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Key Insights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022"/>
        <w:gridCol w:w="2117"/>
        <w:gridCol w:w="2533"/>
      </w:tblGrid>
      <w:tr w:rsidR="006D09F1" w:rsidRPr="006D09F1" w14:paraId="1E43C0EC" w14:textId="77777777" w:rsidTr="006D09F1">
        <w:tc>
          <w:tcPr>
            <w:tcW w:w="0" w:type="auto"/>
            <w:hideMark/>
          </w:tcPr>
          <w:p w14:paraId="5CEB74D5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Key Insight</w:t>
            </w:r>
          </w:p>
        </w:tc>
        <w:tc>
          <w:tcPr>
            <w:tcW w:w="0" w:type="auto"/>
            <w:hideMark/>
          </w:tcPr>
          <w:p w14:paraId="4FEDFD99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Customer Segment</w:t>
            </w:r>
          </w:p>
        </w:tc>
        <w:tc>
          <w:tcPr>
            <w:tcW w:w="0" w:type="auto"/>
            <w:hideMark/>
          </w:tcPr>
          <w:p w14:paraId="7826B7D6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Influencing Variables</w:t>
            </w:r>
          </w:p>
        </w:tc>
        <w:tc>
          <w:tcPr>
            <w:tcW w:w="0" w:type="auto"/>
            <w:hideMark/>
          </w:tcPr>
          <w:p w14:paraId="0067841B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Potential Impact</w:t>
            </w:r>
          </w:p>
        </w:tc>
      </w:tr>
      <w:tr w:rsidR="006D09F1" w:rsidRPr="006D09F1" w14:paraId="7040437D" w14:textId="77777777" w:rsidTr="006D09F1">
        <w:tc>
          <w:tcPr>
            <w:tcW w:w="0" w:type="auto"/>
            <w:hideMark/>
          </w:tcPr>
          <w:p w14:paraId="284CF1A8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High risk from missed payments + high utilization</w:t>
            </w:r>
          </w:p>
        </w:tc>
        <w:tc>
          <w:tcPr>
            <w:tcW w:w="0" w:type="auto"/>
            <w:hideMark/>
          </w:tcPr>
          <w:p w14:paraId="2ADF8CAE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Under 30, moderate income, 2+ missed payments</w:t>
            </w:r>
          </w:p>
        </w:tc>
        <w:tc>
          <w:tcPr>
            <w:tcW w:w="0" w:type="auto"/>
            <w:hideMark/>
          </w:tcPr>
          <w:p w14:paraId="5D24B019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Missed payments, credit utilization, age</w:t>
            </w:r>
          </w:p>
        </w:tc>
        <w:tc>
          <w:tcPr>
            <w:tcW w:w="0" w:type="auto"/>
            <w:hideMark/>
          </w:tcPr>
          <w:p w14:paraId="63849475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Prioritize proactive outreach and offer financial coaching</w:t>
            </w:r>
          </w:p>
        </w:tc>
      </w:tr>
      <w:tr w:rsidR="006D09F1" w:rsidRPr="006D09F1" w14:paraId="41AE792C" w14:textId="77777777" w:rsidTr="006D09F1">
        <w:tc>
          <w:tcPr>
            <w:tcW w:w="0" w:type="auto"/>
            <w:hideMark/>
          </w:tcPr>
          <w:p w14:paraId="6C69FD55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Elevated delinquency risk with high DTI</w:t>
            </w:r>
          </w:p>
        </w:tc>
        <w:tc>
          <w:tcPr>
            <w:tcW w:w="0" w:type="auto"/>
            <w:hideMark/>
          </w:tcPr>
          <w:p w14:paraId="39288783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Middle-income customers with unstable income</w:t>
            </w:r>
          </w:p>
        </w:tc>
        <w:tc>
          <w:tcPr>
            <w:tcW w:w="0" w:type="auto"/>
            <w:hideMark/>
          </w:tcPr>
          <w:p w14:paraId="62E37A24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DTI ratio, income pattern, employment length</w:t>
            </w:r>
          </w:p>
        </w:tc>
        <w:tc>
          <w:tcPr>
            <w:tcW w:w="0" w:type="auto"/>
            <w:hideMark/>
          </w:tcPr>
          <w:p w14:paraId="4BD190D8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Offer personalized repayment plans and budgeting assistance</w:t>
            </w:r>
          </w:p>
        </w:tc>
      </w:tr>
      <w:tr w:rsidR="006D09F1" w:rsidRPr="006D09F1" w14:paraId="6C111EDB" w14:textId="77777777" w:rsidTr="006D09F1">
        <w:tc>
          <w:tcPr>
            <w:tcW w:w="0" w:type="auto"/>
            <w:hideMark/>
          </w:tcPr>
          <w:p w14:paraId="5D6B6A7E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High utilization alone increases short-term risk</w:t>
            </w:r>
          </w:p>
        </w:tc>
        <w:tc>
          <w:tcPr>
            <w:tcW w:w="0" w:type="auto"/>
            <w:hideMark/>
          </w:tcPr>
          <w:p w14:paraId="7CE157FC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All age groups with credit utilization &gt; 80%</w:t>
            </w:r>
          </w:p>
        </w:tc>
        <w:tc>
          <w:tcPr>
            <w:tcW w:w="0" w:type="auto"/>
            <w:hideMark/>
          </w:tcPr>
          <w:p w14:paraId="6BF9542F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Credit utilization, account age</w:t>
            </w:r>
          </w:p>
        </w:tc>
        <w:tc>
          <w:tcPr>
            <w:tcW w:w="0" w:type="auto"/>
            <w:hideMark/>
          </w:tcPr>
          <w:p w14:paraId="571F6FCE" w14:textId="77777777" w:rsidR="006D09F1" w:rsidRPr="006D09F1" w:rsidRDefault="006D09F1" w:rsidP="006D09F1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</w:pPr>
            <w:r w:rsidRPr="006D09F1">
              <w:rPr>
                <w:rFonts w:ascii="Times New Roman" w:eastAsiaTheme="majorEastAsia" w:hAnsi="Times New Roman" w:cs="Times New Roman"/>
                <w:color w:val="000000" w:themeColor="text1"/>
                <w:spacing w:val="5"/>
                <w:kern w:val="28"/>
                <w:sz w:val="24"/>
                <w:szCs w:val="24"/>
                <w:lang w:val="en-IN"/>
              </w:rPr>
              <w:t>Limit credit line increases; send alerts to manage usage effectively</w:t>
            </w:r>
          </w:p>
        </w:tc>
      </w:tr>
    </w:tbl>
    <w:p w14:paraId="67D99C69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4B431BC8">
          <v:rect id="_x0000_i1061" style="width:0;height:1.5pt" o:hralign="center" o:hrstd="t" o:hr="t" fillcolor="#a0a0a0" stroked="f"/>
        </w:pict>
      </w:r>
    </w:p>
    <w:p w14:paraId="225254DE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2. Recommendation Framework</w:t>
      </w:r>
    </w:p>
    <w:p w14:paraId="4B8E91A1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• Restated Insight:</w:t>
      </w:r>
    </w:p>
    <w:p w14:paraId="3775A42E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Customers under 30 with 2+ missed payments and high credit utilization are significantly more likely to default within 30 days.</w:t>
      </w:r>
    </w:p>
    <w:p w14:paraId="3728589F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• Proposed Recommendation:</w:t>
      </w:r>
    </w:p>
    <w:p w14:paraId="21DC926C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Pilot a targeted SMS outreach campaign for at-risk customers under 30 with 2+ missed payments and credit utilization &gt; 80%, aiming to reduce 30-day delinquency by 10% over 6 weeks.</w:t>
      </w:r>
    </w:p>
    <w:p w14:paraId="25E9F7BA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SMART Breakdown:</w:t>
      </w:r>
    </w:p>
    <w:p w14:paraId="1BD160C8" w14:textId="77777777" w:rsidR="006D09F1" w:rsidRPr="006D09F1" w:rsidRDefault="006D09F1" w:rsidP="006D09F1">
      <w:pPr>
        <w:numPr>
          <w:ilvl w:val="0"/>
          <w:numId w:val="11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Specific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Identify and reach out to a defined segment of at-risk young customers.</w:t>
      </w:r>
    </w:p>
    <w:p w14:paraId="4A7A93B3" w14:textId="77777777" w:rsidR="006D09F1" w:rsidRPr="006D09F1" w:rsidRDefault="006D09F1" w:rsidP="006D09F1">
      <w:pPr>
        <w:numPr>
          <w:ilvl w:val="0"/>
          <w:numId w:val="11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Measurable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Track change in 30-day delinquency rate before and after campaign.</w:t>
      </w:r>
    </w:p>
    <w:p w14:paraId="5B8118F6" w14:textId="77777777" w:rsidR="006D09F1" w:rsidRPr="006D09F1" w:rsidRDefault="006D09F1" w:rsidP="006D09F1">
      <w:pPr>
        <w:numPr>
          <w:ilvl w:val="0"/>
          <w:numId w:val="11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lastRenderedPageBreak/>
        <w:t>Actionable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Use existing CRM/SMS platforms for delivery and response tracking.</w:t>
      </w:r>
    </w:p>
    <w:p w14:paraId="02A77488" w14:textId="77777777" w:rsidR="006D09F1" w:rsidRPr="006D09F1" w:rsidRDefault="006D09F1" w:rsidP="006D09F1">
      <w:pPr>
        <w:numPr>
          <w:ilvl w:val="0"/>
          <w:numId w:val="11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Relevant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: Targets the segment with highest delinquency risk and aligns with </w:t>
      </w:r>
      <w:proofErr w:type="spellStart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Geldium’s</w:t>
      </w:r>
      <w:proofErr w:type="spellEnd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goals.</w:t>
      </w:r>
    </w:p>
    <w:p w14:paraId="6D2E2CBE" w14:textId="77777777" w:rsidR="006D09F1" w:rsidRPr="006D09F1" w:rsidRDefault="006D09F1" w:rsidP="006D09F1">
      <w:pPr>
        <w:numPr>
          <w:ilvl w:val="0"/>
          <w:numId w:val="11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Time-bound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Campaign duration is 6 weeks with results evaluated after 2 billing cycles.</w:t>
      </w:r>
    </w:p>
    <w:p w14:paraId="1F775CBB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Justification and Business Rationale:</w:t>
      </w:r>
    </w:p>
    <w:p w14:paraId="412D251C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This recommendation is low-cost, scalable, and targets a high-risk yet digitally engaged segment. It supports early intervention and could meaningfully reduce default rates, </w:t>
      </w:r>
      <w:proofErr w:type="gramStart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preserving</w:t>
      </w:r>
      <w:proofErr w:type="gramEnd"/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revenue and improving customer experience without major policy changes.</w:t>
      </w:r>
    </w:p>
    <w:p w14:paraId="7BF57F55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688D95CE">
          <v:rect id="_x0000_i1062" style="width:0;height:1.5pt" o:hralign="center" o:hrstd="t" o:hr="t" fillcolor="#a0a0a0" stroked="f"/>
        </w:pict>
      </w:r>
    </w:p>
    <w:p w14:paraId="1422C9C1" w14:textId="77777777" w:rsidR="006D09F1" w:rsidRPr="006D09F1" w:rsidRDefault="006D09F1" w:rsidP="006D09F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3. Ethical and Responsible AI Considerations</w:t>
      </w:r>
    </w:p>
    <w:p w14:paraId="15A2BDEB" w14:textId="77777777" w:rsidR="006D09F1" w:rsidRPr="006D09F1" w:rsidRDefault="006D09F1" w:rsidP="006D09F1">
      <w:pPr>
        <w:numPr>
          <w:ilvl w:val="0"/>
          <w:numId w:val="12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Bias &amp; Fairness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The model may underperform for rural or low-income segments not well represented in historical data. To mitigate, we recommend reviewing predictions across demographic slices (age, income, geography) and applying fairness metrics like demographic parity.</w:t>
      </w:r>
    </w:p>
    <w:p w14:paraId="1F5C9AD1" w14:textId="77777777" w:rsidR="006D09F1" w:rsidRPr="006D09F1" w:rsidRDefault="006D09F1" w:rsidP="006D09F1">
      <w:pPr>
        <w:numPr>
          <w:ilvl w:val="0"/>
          <w:numId w:val="12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Explainability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The chosen model (logistic regression) is highly interpretable, allowing clear explanation of how features like credit utilization and payment history contribute to risk scores.</w:t>
      </w:r>
    </w:p>
    <w:p w14:paraId="3EAC117A" w14:textId="77777777" w:rsidR="006D09F1" w:rsidRPr="006D09F1" w:rsidRDefault="006D09F1" w:rsidP="006D09F1">
      <w:pPr>
        <w:numPr>
          <w:ilvl w:val="0"/>
          <w:numId w:val="12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Responsible Use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Predictions are intended to support—not replace—human decision-making. No adverse actions (like credit limit reductions) are recommended without human oversight.</w:t>
      </w:r>
    </w:p>
    <w:p w14:paraId="6A274F15" w14:textId="77777777" w:rsidR="006D09F1" w:rsidRPr="006D09F1" w:rsidRDefault="006D09F1" w:rsidP="006D09F1">
      <w:pPr>
        <w:numPr>
          <w:ilvl w:val="0"/>
          <w:numId w:val="12"/>
        </w:numPr>
        <w:spacing w:after="0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6D09F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Transparency &amp; Privacy</w:t>
      </w:r>
      <w:r w:rsidRPr="006D09F1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: Outreach will be framed as support, not warning. Customer data will be handled in compliance with data privacy standards, and all interventions will be logged for accountability.</w:t>
      </w:r>
    </w:p>
    <w:p w14:paraId="33EC1793" w14:textId="1DF7ECC6" w:rsidR="007D72C2" w:rsidRPr="006D09F1" w:rsidRDefault="007D72C2" w:rsidP="006D09F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D72C2" w:rsidRPr="006D09F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294EE" w14:textId="77777777" w:rsidR="00EE7BD5" w:rsidRDefault="00EE7BD5" w:rsidP="006D09F1">
      <w:pPr>
        <w:spacing w:after="0" w:line="240" w:lineRule="auto"/>
      </w:pPr>
      <w:r>
        <w:separator/>
      </w:r>
    </w:p>
  </w:endnote>
  <w:endnote w:type="continuationSeparator" w:id="0">
    <w:p w14:paraId="1EE72BA6" w14:textId="77777777" w:rsidR="00EE7BD5" w:rsidRDefault="00EE7BD5" w:rsidP="006D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F72CE" w14:textId="77777777" w:rsidR="006D09F1" w:rsidRDefault="006D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EC45" w14:textId="77777777" w:rsidR="006D09F1" w:rsidRDefault="006D09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748CC" w14:textId="77777777" w:rsidR="006D09F1" w:rsidRDefault="006D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42C5B" w14:textId="77777777" w:rsidR="00EE7BD5" w:rsidRDefault="00EE7BD5" w:rsidP="006D09F1">
      <w:pPr>
        <w:spacing w:after="0" w:line="240" w:lineRule="auto"/>
      </w:pPr>
      <w:r>
        <w:separator/>
      </w:r>
    </w:p>
  </w:footnote>
  <w:footnote w:type="continuationSeparator" w:id="0">
    <w:p w14:paraId="21B3A231" w14:textId="77777777" w:rsidR="00EE7BD5" w:rsidRDefault="00EE7BD5" w:rsidP="006D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48577" w14:textId="77777777" w:rsidR="006D09F1" w:rsidRDefault="006D0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087BD" w14:textId="77777777" w:rsidR="006D09F1" w:rsidRDefault="006D09F1" w:rsidP="006D09F1">
    <w:pPr>
      <w:spacing w:after="0"/>
      <w:jc w:val="center"/>
      <w:rPr>
        <w:rFonts w:ascii="Times New Roman" w:eastAsiaTheme="majorEastAsia" w:hAnsi="Times New Roman" w:cs="Times New Roman"/>
        <w:b/>
        <w:bCs/>
        <w:color w:val="000000" w:themeColor="text1"/>
        <w:spacing w:val="5"/>
        <w:kern w:val="28"/>
        <w:sz w:val="32"/>
        <w:szCs w:val="32"/>
        <w:lang w:val="en-IN"/>
      </w:rPr>
    </w:pPr>
    <w:r w:rsidRPr="006D09F1">
      <w:rPr>
        <w:rFonts w:ascii="Times New Roman" w:eastAsiaTheme="majorEastAsia" w:hAnsi="Times New Roman" w:cs="Times New Roman"/>
        <w:b/>
        <w:bCs/>
        <w:color w:val="000000" w:themeColor="text1"/>
        <w:spacing w:val="5"/>
        <w:kern w:val="28"/>
        <w:sz w:val="32"/>
        <w:szCs w:val="32"/>
        <w:lang w:val="en-IN"/>
      </w:rPr>
      <w:t xml:space="preserve">Business Summary Report: </w:t>
    </w:r>
  </w:p>
  <w:p w14:paraId="1E281440" w14:textId="67AAB17D" w:rsidR="006D09F1" w:rsidRPr="006D09F1" w:rsidRDefault="006D09F1" w:rsidP="006D09F1">
    <w:pPr>
      <w:spacing w:after="0"/>
      <w:jc w:val="center"/>
      <w:rPr>
        <w:rFonts w:ascii="Times New Roman" w:eastAsiaTheme="majorEastAsia" w:hAnsi="Times New Roman" w:cs="Times New Roman"/>
        <w:b/>
        <w:bCs/>
        <w:color w:val="000000" w:themeColor="text1"/>
        <w:spacing w:val="5"/>
        <w:kern w:val="28"/>
        <w:sz w:val="32"/>
        <w:szCs w:val="32"/>
        <w:lang w:val="en-IN"/>
      </w:rPr>
    </w:pPr>
    <w:r w:rsidRPr="006D09F1">
      <w:rPr>
        <w:rFonts w:ascii="Times New Roman" w:eastAsiaTheme="majorEastAsia" w:hAnsi="Times New Roman" w:cs="Times New Roman"/>
        <w:b/>
        <w:bCs/>
        <w:color w:val="000000" w:themeColor="text1"/>
        <w:spacing w:val="5"/>
        <w:kern w:val="28"/>
        <w:sz w:val="32"/>
        <w:szCs w:val="32"/>
        <w:lang w:val="en-IN"/>
      </w:rPr>
      <w:t>Predictive Insights for Collections Strategy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F6DA" w14:textId="77777777" w:rsidR="006D09F1" w:rsidRDefault="006D0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43BBF"/>
    <w:multiLevelType w:val="multilevel"/>
    <w:tmpl w:val="907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04429"/>
    <w:multiLevelType w:val="multilevel"/>
    <w:tmpl w:val="4B90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57D89"/>
    <w:multiLevelType w:val="multilevel"/>
    <w:tmpl w:val="65C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053888447">
    <w:abstractNumId w:val="11"/>
  </w:num>
  <w:num w:numId="11" w16cid:durableId="477848685">
    <w:abstractNumId w:val="9"/>
  </w:num>
  <w:num w:numId="12" w16cid:durableId="1924997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9F1"/>
    <w:rsid w:val="00731192"/>
    <w:rsid w:val="007D72C2"/>
    <w:rsid w:val="008237CA"/>
    <w:rsid w:val="00A537D1"/>
    <w:rsid w:val="00AA1D8D"/>
    <w:rsid w:val="00B47730"/>
    <w:rsid w:val="00CB0664"/>
    <w:rsid w:val="00EE7B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Costas Pinto</cp:lastModifiedBy>
  <cp:revision>2</cp:revision>
  <dcterms:created xsi:type="dcterms:W3CDTF">2025-06-27T14:46:00Z</dcterms:created>
  <dcterms:modified xsi:type="dcterms:W3CDTF">2025-06-27T14:46:00Z</dcterms:modified>
  <cp:category/>
</cp:coreProperties>
</file>