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0904" w14:textId="4105CD70" w:rsidR="00B92A2C" w:rsidRPr="00814B20" w:rsidRDefault="00822F6B" w:rsidP="00B92A2C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PARCIAL 1</w:t>
      </w:r>
    </w:p>
    <w:p w14:paraId="510A0C62" w14:textId="2D20DEED" w:rsidR="00B92A2C" w:rsidRDefault="00B92A2C" w:rsidP="00B92A2C">
      <w:pPr>
        <w:jc w:val="center"/>
        <w:rPr>
          <w:rFonts w:ascii="Garamond" w:hAnsi="Garamond"/>
          <w:b/>
          <w:bCs/>
          <w:sz w:val="28"/>
          <w:szCs w:val="28"/>
        </w:rPr>
      </w:pPr>
      <w:r w:rsidRPr="00814B20">
        <w:rPr>
          <w:rFonts w:ascii="Garamond" w:hAnsi="Garamond"/>
          <w:b/>
          <w:bCs/>
          <w:sz w:val="28"/>
          <w:szCs w:val="28"/>
        </w:rPr>
        <w:t>SIMULACIÓN DIGITAL</w:t>
      </w:r>
    </w:p>
    <w:p w14:paraId="4295105A" w14:textId="34B941D9" w:rsidR="00B50C60" w:rsidRPr="005E46EA" w:rsidRDefault="00822F6B" w:rsidP="005E46EA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19</w:t>
      </w:r>
      <w:r w:rsidR="001F3C8C">
        <w:rPr>
          <w:rFonts w:ascii="Garamond" w:hAnsi="Garamond"/>
          <w:b/>
          <w:bCs/>
          <w:sz w:val="28"/>
          <w:szCs w:val="28"/>
        </w:rPr>
        <w:t xml:space="preserve"> </w:t>
      </w:r>
      <w:r>
        <w:rPr>
          <w:rFonts w:ascii="Garamond" w:hAnsi="Garamond"/>
          <w:b/>
          <w:bCs/>
          <w:sz w:val="28"/>
          <w:szCs w:val="28"/>
        </w:rPr>
        <w:t>enero</w:t>
      </w:r>
      <w:r w:rsidR="001F3C8C">
        <w:rPr>
          <w:rFonts w:ascii="Garamond" w:hAnsi="Garamond"/>
          <w:b/>
          <w:bCs/>
          <w:sz w:val="28"/>
          <w:szCs w:val="28"/>
        </w:rPr>
        <w:t xml:space="preserve"> 202</w:t>
      </w:r>
      <w:r>
        <w:rPr>
          <w:rFonts w:ascii="Garamond" w:hAnsi="Garamond"/>
          <w:b/>
          <w:bCs/>
          <w:sz w:val="28"/>
          <w:szCs w:val="28"/>
        </w:rPr>
        <w:t>2</w:t>
      </w:r>
    </w:p>
    <w:p w14:paraId="771675E6" w14:textId="44926880" w:rsidR="00D0402B" w:rsidRPr="00D0402B" w:rsidRDefault="003A01D3" w:rsidP="00E31C43">
      <w:pPr>
        <w:jc w:val="both"/>
        <w:rPr>
          <w:rFonts w:ascii="Garamond" w:hAnsi="Garamond"/>
          <w:sz w:val="24"/>
          <w:szCs w:val="24"/>
        </w:rPr>
      </w:pPr>
      <w:r w:rsidRPr="00814B20">
        <w:rPr>
          <w:rFonts w:ascii="Garamond" w:hAnsi="Garamond"/>
          <w:sz w:val="24"/>
          <w:szCs w:val="24"/>
        </w:rPr>
        <w:t xml:space="preserve">Desarrolle primero </w:t>
      </w:r>
      <w:r w:rsidR="006D5D10">
        <w:rPr>
          <w:rFonts w:ascii="Garamond" w:hAnsi="Garamond"/>
          <w:sz w:val="24"/>
          <w:szCs w:val="24"/>
        </w:rPr>
        <w:t>un análisis detallado d</w:t>
      </w:r>
      <w:r w:rsidRPr="00814B20">
        <w:rPr>
          <w:rFonts w:ascii="Garamond" w:hAnsi="Garamond"/>
          <w:sz w:val="24"/>
          <w:szCs w:val="24"/>
        </w:rPr>
        <w:t>el problema</w:t>
      </w:r>
      <w:r w:rsidR="006D5D10">
        <w:rPr>
          <w:rFonts w:ascii="Garamond" w:hAnsi="Garamond"/>
          <w:sz w:val="24"/>
          <w:szCs w:val="24"/>
        </w:rPr>
        <w:t xml:space="preserve"> explicando el enfoque de su simulación. Puede incluir en el análisis</w:t>
      </w:r>
      <w:r w:rsidRPr="00814B2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pseudocódigo y/o </w:t>
      </w:r>
      <w:r w:rsidRPr="00814B20">
        <w:rPr>
          <w:rFonts w:ascii="Garamond" w:hAnsi="Garamond"/>
          <w:sz w:val="24"/>
          <w:szCs w:val="24"/>
        </w:rPr>
        <w:t>diagramas de flujo</w:t>
      </w:r>
      <w:r>
        <w:rPr>
          <w:rFonts w:ascii="Garamond" w:hAnsi="Garamond"/>
          <w:sz w:val="24"/>
          <w:szCs w:val="24"/>
        </w:rPr>
        <w:t xml:space="preserve"> para cada una de las funciones necesarias</w:t>
      </w:r>
      <w:r w:rsidRPr="00814B20">
        <w:rPr>
          <w:rFonts w:ascii="Garamond" w:hAnsi="Garamond"/>
          <w:sz w:val="24"/>
          <w:szCs w:val="24"/>
        </w:rPr>
        <w:t xml:space="preserve"> (Como evidencia incluir un archivo </w:t>
      </w:r>
      <w:proofErr w:type="spellStart"/>
      <w:r w:rsidRPr="00814B20">
        <w:rPr>
          <w:rFonts w:ascii="Garamond" w:hAnsi="Garamond"/>
          <w:sz w:val="24"/>
          <w:szCs w:val="24"/>
        </w:rPr>
        <w:t>pdf</w:t>
      </w:r>
      <w:proofErr w:type="spellEnd"/>
      <w:r w:rsidRPr="00814B20">
        <w:rPr>
          <w:rFonts w:ascii="Garamond" w:hAnsi="Garamond"/>
          <w:sz w:val="24"/>
          <w:szCs w:val="24"/>
        </w:rPr>
        <w:t xml:space="preserve"> con la imagen del pseudocódigo o en diagrama de flujo implementado). Posteriormente realice la implementación en R (</w:t>
      </w:r>
      <w:r w:rsidRPr="00362418">
        <w:rPr>
          <w:rFonts w:ascii="Garamond" w:hAnsi="Garamond"/>
          <w:sz w:val="24"/>
          <w:szCs w:val="24"/>
          <w:u w:val="single"/>
        </w:rPr>
        <w:t>Evidencia</w:t>
      </w:r>
      <w:r w:rsidRPr="00814B20">
        <w:rPr>
          <w:rFonts w:ascii="Garamond" w:hAnsi="Garamond"/>
          <w:sz w:val="24"/>
          <w:szCs w:val="24"/>
        </w:rPr>
        <w:t>: el archivo del notebook RMD correspondiente</w:t>
      </w:r>
      <w:r>
        <w:rPr>
          <w:rFonts w:ascii="Garamond" w:hAnsi="Garamond"/>
          <w:sz w:val="24"/>
          <w:szCs w:val="24"/>
        </w:rPr>
        <w:t>. Asegúrese de incluir la explicación en el archivo RMD. Incluir solamente el código se evaluará como una entrega incompleta</w:t>
      </w:r>
      <w:r w:rsidRPr="00814B20">
        <w:rPr>
          <w:rFonts w:ascii="Garamond" w:hAnsi="Garamond"/>
          <w:sz w:val="24"/>
          <w:szCs w:val="24"/>
        </w:rPr>
        <w:t xml:space="preserve">). </w:t>
      </w:r>
      <w:r w:rsidR="006D5D10">
        <w:rPr>
          <w:rFonts w:ascii="Garamond" w:hAnsi="Garamond"/>
          <w:sz w:val="24"/>
          <w:szCs w:val="24"/>
        </w:rPr>
        <w:t>P</w:t>
      </w:r>
      <w:r w:rsidRPr="00814B20">
        <w:rPr>
          <w:rFonts w:ascii="Garamond" w:hAnsi="Garamond"/>
          <w:sz w:val="24"/>
          <w:szCs w:val="24"/>
        </w:rPr>
        <w:t>ara generar números aleatorios con distribución uniforme</w:t>
      </w:r>
      <w:r>
        <w:rPr>
          <w:rFonts w:ascii="Garamond" w:hAnsi="Garamond"/>
          <w:sz w:val="24"/>
          <w:szCs w:val="24"/>
        </w:rPr>
        <w:t xml:space="preserve"> continua</w:t>
      </w:r>
      <w:r w:rsidRPr="00814B20">
        <w:rPr>
          <w:rFonts w:ascii="Garamond" w:hAnsi="Garamond"/>
          <w:sz w:val="24"/>
          <w:szCs w:val="24"/>
        </w:rPr>
        <w:t xml:space="preserve"> puede utilizar la función </w:t>
      </w:r>
      <w:proofErr w:type="spellStart"/>
      <w:r w:rsidRPr="00814B20">
        <w:rPr>
          <w:rFonts w:ascii="Garamond" w:hAnsi="Garamond"/>
          <w:i/>
          <w:iCs/>
          <w:sz w:val="24"/>
          <w:szCs w:val="24"/>
        </w:rPr>
        <w:t>runif</w:t>
      </w:r>
      <w:proofErr w:type="spellEnd"/>
      <w:r w:rsidRPr="00814B20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Solamente se permite la utilización de esa función, de las librerías de generación de números aleatorios de R.</w:t>
      </w:r>
    </w:p>
    <w:p w14:paraId="03EC27E5" w14:textId="29E5FC8D" w:rsidR="006D5D10" w:rsidRDefault="006D5D10" w:rsidP="00E31C43">
      <w:pPr>
        <w:jc w:val="both"/>
        <w:rPr>
          <w:rFonts w:ascii="Garamond" w:hAnsi="Garamond"/>
          <w:i/>
          <w:iCs/>
          <w:sz w:val="24"/>
          <w:szCs w:val="24"/>
          <w:u w:val="single"/>
        </w:rPr>
      </w:pPr>
      <w:r w:rsidRPr="006D5D10">
        <w:rPr>
          <w:rFonts w:ascii="Garamond" w:hAnsi="Garamond"/>
          <w:i/>
          <w:iCs/>
          <w:sz w:val="24"/>
          <w:szCs w:val="24"/>
          <w:u w:val="single"/>
        </w:rPr>
        <w:t xml:space="preserve">Punto1. Integración </w:t>
      </w:r>
      <w:proofErr w:type="spellStart"/>
      <w:r w:rsidRPr="006D5D10">
        <w:rPr>
          <w:rFonts w:ascii="Garamond" w:hAnsi="Garamond"/>
          <w:i/>
          <w:iCs/>
          <w:sz w:val="24"/>
          <w:szCs w:val="24"/>
          <w:u w:val="single"/>
        </w:rPr>
        <w:t>MonteCarlo</w:t>
      </w:r>
      <w:proofErr w:type="spellEnd"/>
      <w:r w:rsidRPr="006D5D10">
        <w:rPr>
          <w:rFonts w:ascii="Garamond" w:hAnsi="Garamond"/>
          <w:i/>
          <w:iCs/>
          <w:sz w:val="24"/>
          <w:szCs w:val="24"/>
          <w:u w:val="single"/>
        </w:rPr>
        <w:t xml:space="preserve"> [2/5]</w:t>
      </w:r>
    </w:p>
    <w:p w14:paraId="36FB96E1" w14:textId="33B6001A" w:rsidR="006D5D10" w:rsidRPr="00D0402B" w:rsidRDefault="0073099D" w:rsidP="00284A3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Utilizando el método de integración Monte Carlo, evalúe la siguiente integral:</w:t>
      </w:r>
      <w:r w:rsidR="00D0402B" w:rsidRPr="00D0402B">
        <w:rPr>
          <w:rFonts w:ascii="Cambria Math" w:hAnsi="Cambria Math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⌊</m:t>
                          </m:r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⌋d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CD8BCDF" w14:textId="4B4E2035" w:rsidR="00D0402B" w:rsidRDefault="00D0402B" w:rsidP="00284A3C">
      <w:pPr>
        <w:pStyle w:val="FirstParagraph"/>
        <w:rPr>
          <w:rFonts w:ascii="Garamond" w:hAnsi="Garamond"/>
        </w:rPr>
      </w:pPr>
      <w:proofErr w:type="spellStart"/>
      <w:r w:rsidRPr="00D0402B">
        <w:rPr>
          <w:rFonts w:ascii="Garamond" w:hAnsi="Garamond"/>
        </w:rPr>
        <w:t>Recuerde</w:t>
      </w:r>
      <w:proofErr w:type="spellEnd"/>
      <w:r w:rsidRPr="00D0402B">
        <w:rPr>
          <w:rFonts w:ascii="Garamond" w:hAnsi="Garamond"/>
        </w:rPr>
        <w:t xml:space="preserve"> que </w:t>
      </w:r>
      <m:oMath>
        <m:r>
          <w:rPr>
            <w:rFonts w:ascii="Cambria Math" w:hAnsi="Cambria Math"/>
          </w:rPr>
          <m:t>⌊y⌋</m:t>
        </m:r>
      </m:oMath>
      <w:r w:rsidRPr="00D0402B">
        <w:rPr>
          <w:rFonts w:ascii="Garamond" w:hAnsi="Garamond"/>
        </w:rPr>
        <w:t xml:space="preserve"> equivale a </w:t>
      </w:r>
      <w:proofErr w:type="spellStart"/>
      <w:r w:rsidRPr="00D0402B">
        <w:rPr>
          <w:rFonts w:ascii="Garamond" w:hAnsi="Garamond"/>
        </w:rPr>
        <w:t>tener</w:t>
      </w:r>
      <w:proofErr w:type="spellEnd"/>
      <w:r w:rsidRPr="00D0402B">
        <w:rPr>
          <w:rFonts w:ascii="Garamond" w:hAnsi="Garamond"/>
        </w:rPr>
        <w:t xml:space="preserve"> </w:t>
      </w:r>
      <w:proofErr w:type="spellStart"/>
      <w:r w:rsidRPr="00D0402B">
        <w:rPr>
          <w:rFonts w:ascii="Garamond" w:hAnsi="Garamond"/>
        </w:rPr>
        <w:t>el</w:t>
      </w:r>
      <w:proofErr w:type="spellEnd"/>
      <w:r w:rsidRPr="00D0402B">
        <w:rPr>
          <w:rFonts w:ascii="Garamond" w:hAnsi="Garamond"/>
        </w:rPr>
        <w:t xml:space="preserve"> valor </w:t>
      </w:r>
      <w:proofErr w:type="spellStart"/>
      <w:r w:rsidRPr="00D0402B">
        <w:rPr>
          <w:rFonts w:ascii="Garamond" w:hAnsi="Garamond"/>
        </w:rPr>
        <w:t>entero</w:t>
      </w:r>
      <w:proofErr w:type="spellEnd"/>
      <w:r w:rsidRPr="00D0402B">
        <w:rPr>
          <w:rFonts w:ascii="Garamond" w:hAnsi="Garamond"/>
        </w:rPr>
        <w:t xml:space="preserve"> del </w:t>
      </w:r>
      <w:proofErr w:type="spellStart"/>
      <w:r w:rsidRPr="00D0402B">
        <w:rPr>
          <w:rFonts w:ascii="Garamond" w:hAnsi="Garamond"/>
        </w:rPr>
        <w:t>número</w:t>
      </w:r>
      <w:proofErr w:type="spellEnd"/>
      <w:r w:rsidRPr="00D0402B">
        <w:rPr>
          <w:rFonts w:ascii="Garamond" w:hAnsi="Garamond"/>
        </w:rPr>
        <w:t xml:space="preserve"> y.</w:t>
      </w:r>
      <w:r>
        <w:rPr>
          <w:rFonts w:ascii="Garamond" w:hAnsi="Garamond"/>
        </w:rPr>
        <w:t xml:space="preserve"> </w:t>
      </w:r>
      <w:proofErr w:type="spellStart"/>
      <w:r w:rsidR="00993941" w:rsidRPr="00993941">
        <w:rPr>
          <w:rFonts w:ascii="Garamond" w:hAnsi="Garamond"/>
        </w:rPr>
        <w:t>Utilizando</w:t>
      </w:r>
      <w:proofErr w:type="spellEnd"/>
      <w:r w:rsidR="00993941" w:rsidRPr="00993941">
        <w:rPr>
          <w:rFonts w:ascii="Garamond" w:hAnsi="Garamond"/>
        </w:rPr>
        <w:t xml:space="preserve"> </w:t>
      </w:r>
      <w:proofErr w:type="spellStart"/>
      <w:r w:rsidR="00993941" w:rsidRPr="00993941">
        <w:rPr>
          <w:rFonts w:ascii="Garamond" w:hAnsi="Garamond"/>
        </w:rPr>
        <w:t>varias</w:t>
      </w:r>
      <w:proofErr w:type="spellEnd"/>
      <w:r w:rsidR="00993941" w:rsidRPr="00993941">
        <w:rPr>
          <w:rFonts w:ascii="Garamond" w:hAnsi="Garamond"/>
        </w:rPr>
        <w:t xml:space="preserve"> </w:t>
      </w:r>
      <w:proofErr w:type="spellStart"/>
      <w:r w:rsidR="00993941" w:rsidRPr="00993941">
        <w:rPr>
          <w:rFonts w:ascii="Garamond" w:hAnsi="Garamond"/>
        </w:rPr>
        <w:t>veces</w:t>
      </w:r>
      <w:proofErr w:type="spellEnd"/>
      <w:r w:rsidR="00993941" w:rsidRPr="00993941">
        <w:rPr>
          <w:rFonts w:ascii="Garamond" w:hAnsi="Garamond"/>
        </w:rPr>
        <w:t xml:space="preserve"> </w:t>
      </w:r>
      <w:proofErr w:type="spellStart"/>
      <w:r w:rsidR="00993941" w:rsidRPr="00993941">
        <w:rPr>
          <w:rFonts w:ascii="Garamond" w:hAnsi="Garamond"/>
        </w:rPr>
        <w:t>el</w:t>
      </w:r>
      <w:proofErr w:type="spellEnd"/>
      <w:r w:rsidR="00993941" w:rsidRPr="00993941">
        <w:rPr>
          <w:rFonts w:ascii="Garamond" w:hAnsi="Garamond"/>
        </w:rPr>
        <w:t xml:space="preserve"> </w:t>
      </w:r>
      <w:proofErr w:type="spellStart"/>
      <w:r w:rsidR="00993941" w:rsidRPr="00993941">
        <w:rPr>
          <w:rFonts w:ascii="Garamond" w:hAnsi="Garamond"/>
        </w:rPr>
        <w:t>proceso</w:t>
      </w:r>
      <w:proofErr w:type="spellEnd"/>
      <w:r w:rsidR="00993941" w:rsidRPr="00993941">
        <w:rPr>
          <w:rFonts w:ascii="Garamond" w:hAnsi="Garamond"/>
        </w:rPr>
        <w:t xml:space="preserve"> de </w:t>
      </w:r>
      <w:proofErr w:type="spellStart"/>
      <w:r w:rsidR="00993941" w:rsidRPr="00993941">
        <w:rPr>
          <w:rFonts w:ascii="Garamond" w:hAnsi="Garamond"/>
        </w:rPr>
        <w:t>integración</w:t>
      </w:r>
      <w:proofErr w:type="spellEnd"/>
      <w:r w:rsidR="00993941" w:rsidRPr="00993941">
        <w:rPr>
          <w:rFonts w:ascii="Garamond" w:hAnsi="Garamond"/>
        </w:rPr>
        <w:t xml:space="preserve">, </w:t>
      </w:r>
      <w:proofErr w:type="spellStart"/>
      <w:r w:rsidR="00993941" w:rsidRPr="00993941">
        <w:rPr>
          <w:rFonts w:ascii="Garamond" w:hAnsi="Garamond"/>
        </w:rPr>
        <w:t>asegúrese</w:t>
      </w:r>
      <w:proofErr w:type="spellEnd"/>
      <w:r w:rsidR="00993941" w:rsidRPr="00993941">
        <w:rPr>
          <w:rFonts w:ascii="Garamond" w:hAnsi="Garamond"/>
        </w:rPr>
        <w:t xml:space="preserve"> de que </w:t>
      </w:r>
      <w:proofErr w:type="spellStart"/>
      <w:r w:rsidR="00993941" w:rsidRPr="00993941">
        <w:rPr>
          <w:rFonts w:ascii="Garamond" w:hAnsi="Garamond"/>
        </w:rPr>
        <w:t>el</w:t>
      </w:r>
      <w:proofErr w:type="spellEnd"/>
      <w:r w:rsidR="00993941" w:rsidRPr="00993941">
        <w:rPr>
          <w:rFonts w:ascii="Garamond" w:hAnsi="Garamond"/>
        </w:rPr>
        <w:t xml:space="preserve"> </w:t>
      </w:r>
      <w:proofErr w:type="spellStart"/>
      <w:r w:rsidR="00993941" w:rsidRPr="00993941">
        <w:rPr>
          <w:rFonts w:ascii="Garamond" w:hAnsi="Garamond"/>
        </w:rPr>
        <w:t>número</w:t>
      </w:r>
      <w:proofErr w:type="spellEnd"/>
      <w:r w:rsidR="00993941" w:rsidRPr="00993941">
        <w:rPr>
          <w:rFonts w:ascii="Garamond" w:hAnsi="Garamond"/>
        </w:rPr>
        <w:t xml:space="preserve"> de </w:t>
      </w:r>
      <w:proofErr w:type="spellStart"/>
      <w:r w:rsidR="00993941" w:rsidRPr="00993941">
        <w:rPr>
          <w:rFonts w:ascii="Garamond" w:hAnsi="Garamond"/>
        </w:rPr>
        <w:t>iteraciones</w:t>
      </w:r>
      <w:proofErr w:type="spellEnd"/>
      <w:r w:rsidR="00993941">
        <w:rPr>
          <w:rFonts w:ascii="Garamond" w:hAnsi="Garamond"/>
        </w:rPr>
        <w:t xml:space="preserve"> (k)</w:t>
      </w:r>
      <w:r w:rsidR="00993941" w:rsidRPr="00993941">
        <w:rPr>
          <w:rFonts w:ascii="Garamond" w:hAnsi="Garamond"/>
        </w:rPr>
        <w:t xml:space="preserve"> </w:t>
      </w:r>
      <w:proofErr w:type="spellStart"/>
      <w:r w:rsidR="00993941" w:rsidRPr="00993941">
        <w:rPr>
          <w:rFonts w:ascii="Garamond" w:hAnsi="Garamond"/>
        </w:rPr>
        <w:t>utilizada</w:t>
      </w:r>
      <w:proofErr w:type="spellEnd"/>
      <w:r w:rsidR="00993941" w:rsidRPr="00993941">
        <w:rPr>
          <w:rFonts w:ascii="Garamond" w:hAnsi="Garamond"/>
        </w:rPr>
        <w:t xml:space="preserve"> para la </w:t>
      </w:r>
      <w:proofErr w:type="spellStart"/>
      <w:r w:rsidR="00993941" w:rsidRPr="00993941">
        <w:rPr>
          <w:rFonts w:ascii="Garamond" w:hAnsi="Garamond"/>
        </w:rPr>
        <w:t>estimación</w:t>
      </w:r>
      <w:proofErr w:type="spellEnd"/>
      <w:r w:rsidR="00993941" w:rsidRPr="00993941">
        <w:rPr>
          <w:rFonts w:ascii="Garamond" w:hAnsi="Garamond"/>
        </w:rPr>
        <w:t xml:space="preserve"> sea </w:t>
      </w:r>
      <w:r w:rsidR="00993941">
        <w:rPr>
          <w:rFonts w:ascii="Garamond" w:hAnsi="Garamond"/>
        </w:rPr>
        <w:t>mayor</w:t>
      </w:r>
      <w:r w:rsidR="00993941" w:rsidRPr="00993941">
        <w:rPr>
          <w:rFonts w:ascii="Garamond" w:hAnsi="Garamond"/>
        </w:rPr>
        <w:t xml:space="preserve"> de 100 y </w:t>
      </w:r>
      <w:proofErr w:type="spellStart"/>
      <w:r w:rsidR="00993941" w:rsidRPr="00993941">
        <w:rPr>
          <w:rFonts w:ascii="Garamond" w:hAnsi="Garamond"/>
        </w:rPr>
        <w:t>además</w:t>
      </w:r>
      <w:proofErr w:type="spellEnd"/>
      <w:r w:rsidR="00993941" w:rsidRPr="00993941">
        <w:rPr>
          <w:rFonts w:ascii="Garamond" w:hAnsi="Garamond"/>
        </w:rPr>
        <w:t xml:space="preserve"> que la </w:t>
      </w:r>
      <w:proofErr w:type="spellStart"/>
      <w:r w:rsidR="00993941" w:rsidRPr="00993941">
        <w:rPr>
          <w:rFonts w:ascii="Garamond" w:hAnsi="Garamond"/>
        </w:rPr>
        <w:t>muestra</w:t>
      </w:r>
      <w:proofErr w:type="spellEnd"/>
      <w:r w:rsidR="00993941" w:rsidRPr="00993941">
        <w:rPr>
          <w:rFonts w:ascii="Garamond" w:hAnsi="Garamond"/>
        </w:rPr>
        <w:t xml:space="preserve"> </w:t>
      </w:r>
      <w:proofErr w:type="spellStart"/>
      <w:r w:rsidR="00993941" w:rsidRPr="00993941">
        <w:rPr>
          <w:rFonts w:ascii="Garamond" w:hAnsi="Garamond"/>
        </w:rPr>
        <w:t>tenga</w:t>
      </w:r>
      <w:proofErr w:type="spellEnd"/>
      <w:r w:rsidR="00993941" w:rsidRPr="00993941">
        <w:rPr>
          <w:rFonts w:ascii="Garamond" w:hAnsi="Garamond"/>
        </w:rPr>
        <w:t xml:space="preserve"> una </w:t>
      </w:r>
      <w:proofErr w:type="spellStart"/>
      <w:r w:rsidR="00993941" w:rsidRPr="00993941">
        <w:rPr>
          <w:rFonts w:ascii="Garamond" w:hAnsi="Garamond"/>
        </w:rPr>
        <w:t>desviación</w:t>
      </w:r>
      <w:proofErr w:type="spellEnd"/>
      <w:r w:rsidR="00993941" w:rsidRPr="00993941">
        <w:rPr>
          <w:rFonts w:ascii="Garamond" w:hAnsi="Garamond"/>
        </w:rPr>
        <w:t xml:space="preserve"> </w:t>
      </w:r>
      <w:proofErr w:type="spellStart"/>
      <w:r w:rsidR="00993941" w:rsidRPr="00993941">
        <w:rPr>
          <w:rFonts w:ascii="Garamond" w:hAnsi="Garamond"/>
        </w:rPr>
        <w:t>estandar</w:t>
      </w:r>
      <w:proofErr w:type="spellEnd"/>
      <w:r w:rsidR="00993941" w:rsidRPr="00993941">
        <w:rPr>
          <w:rFonts w:ascii="Garamond" w:hAnsi="Garamond"/>
        </w:rPr>
        <w:t xml:space="preserve"> </w:t>
      </w:r>
      <w:proofErr w:type="spellStart"/>
      <w:r w:rsidR="00993941" w:rsidRPr="00993941">
        <w:rPr>
          <w:rFonts w:ascii="Garamond" w:hAnsi="Garamond"/>
        </w:rPr>
        <w:t>muestral</w:t>
      </w:r>
      <w:proofErr w:type="spellEnd"/>
      <w:r w:rsidR="00993941" w:rsidRPr="00993941">
        <w:rPr>
          <w:rFonts w:ascii="Garamond" w:hAnsi="Garamond"/>
        </w:rPr>
        <w:t xml:space="preserve"> </w:t>
      </w:r>
      <w:proofErr w:type="spellStart"/>
      <w:r w:rsidR="00993941" w:rsidRPr="00993941">
        <w:rPr>
          <w:rFonts w:ascii="Garamond" w:hAnsi="Garamond"/>
        </w:rPr>
        <w:t>menor</w:t>
      </w:r>
      <w:proofErr w:type="spellEnd"/>
      <w:r w:rsidR="00993941" w:rsidRPr="00993941">
        <w:rPr>
          <w:rFonts w:ascii="Garamond" w:hAnsi="Garamond"/>
        </w:rPr>
        <w:t xml:space="preserve"> o </w:t>
      </w:r>
      <w:proofErr w:type="spellStart"/>
      <w:r w:rsidR="00993941" w:rsidRPr="00993941">
        <w:rPr>
          <w:rFonts w:ascii="Garamond" w:hAnsi="Garamond"/>
        </w:rPr>
        <w:t>igual</w:t>
      </w:r>
      <w:proofErr w:type="spellEnd"/>
      <w:r w:rsidR="00993941" w:rsidRPr="00993941">
        <w:rPr>
          <w:rFonts w:ascii="Garamond" w:hAnsi="Garamond"/>
        </w:rPr>
        <w:t xml:space="preserve"> a 0.</w:t>
      </w:r>
      <w:r w:rsidR="00AE1FF0">
        <w:rPr>
          <w:rFonts w:ascii="Garamond" w:hAnsi="Garamond"/>
        </w:rPr>
        <w:t>0</w:t>
      </w:r>
      <w:r w:rsidR="00993941" w:rsidRPr="00993941">
        <w:rPr>
          <w:rFonts w:ascii="Garamond" w:hAnsi="Garamond"/>
        </w:rPr>
        <w:t>1</w:t>
      </w:r>
      <w:r w:rsidR="00993941">
        <w:rPr>
          <w:rFonts w:ascii="Garamond" w:hAnsi="Garamond"/>
        </w:rPr>
        <w:t xml:space="preserve"> </w:t>
      </w:r>
    </w:p>
    <w:p w14:paraId="7FCDFAB0" w14:textId="5695C908" w:rsidR="00AE1FF0" w:rsidRPr="00AE1FF0" w:rsidRDefault="00AE1FF0" w:rsidP="00284A3C">
      <w:pPr>
        <w:pStyle w:val="Textoindependiente"/>
      </w:pPr>
      <w:proofErr w:type="spellStart"/>
      <w:r>
        <w:t>Recuerde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r>
        <w:t xml:space="preserve">que la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 xml:space="preserve"> </w:t>
      </w:r>
      <w:proofErr w:type="spellStart"/>
      <w:r>
        <w:t>muestral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sub>
        </m:sSub>
        <m:r>
          <w:rPr>
            <w:rFonts w:ascii="Cambria Math" w:hAnsi="Cambria Math"/>
          </w:rPr>
          <m:t>=σ/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</m:e>
        </m:rad>
      </m:oMath>
    </w:p>
    <w:p w14:paraId="7E61ED28" w14:textId="61FE330C" w:rsidR="003A01D3" w:rsidRDefault="00822F6B" w:rsidP="00E31C4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  <w:u w:val="single"/>
        </w:rPr>
        <w:t>Punto</w:t>
      </w:r>
      <w:r w:rsidR="003A01D3">
        <w:rPr>
          <w:rFonts w:ascii="Garamond" w:hAnsi="Garamond"/>
          <w:i/>
          <w:iCs/>
          <w:sz w:val="24"/>
          <w:szCs w:val="24"/>
          <w:u w:val="single"/>
        </w:rPr>
        <w:t>2</w:t>
      </w:r>
      <w:r w:rsidR="00D90A39">
        <w:rPr>
          <w:rFonts w:ascii="Garamond" w:hAnsi="Garamond"/>
          <w:i/>
          <w:iCs/>
          <w:sz w:val="24"/>
          <w:szCs w:val="24"/>
          <w:u w:val="single"/>
        </w:rPr>
        <w:t>.</w:t>
      </w:r>
      <w:r>
        <w:rPr>
          <w:rFonts w:ascii="Garamond" w:hAnsi="Garamond"/>
          <w:i/>
          <w:iCs/>
          <w:sz w:val="24"/>
          <w:szCs w:val="24"/>
          <w:u w:val="single"/>
        </w:rPr>
        <w:t xml:space="preserve"> Simulación </w:t>
      </w:r>
      <w:proofErr w:type="spellStart"/>
      <w:r>
        <w:rPr>
          <w:rFonts w:ascii="Garamond" w:hAnsi="Garamond"/>
          <w:i/>
          <w:iCs/>
          <w:sz w:val="24"/>
          <w:szCs w:val="24"/>
          <w:u w:val="single"/>
        </w:rPr>
        <w:t>MonteCarlo</w:t>
      </w:r>
      <w:proofErr w:type="spellEnd"/>
      <w:r w:rsidR="003A01D3">
        <w:rPr>
          <w:rFonts w:ascii="Garamond" w:hAnsi="Garamond"/>
          <w:i/>
          <w:iCs/>
          <w:sz w:val="24"/>
          <w:szCs w:val="24"/>
          <w:u w:val="single"/>
        </w:rPr>
        <w:t xml:space="preserve"> [3/5]</w:t>
      </w:r>
      <w:r w:rsidR="00B50C60">
        <w:rPr>
          <w:rFonts w:ascii="Garamond" w:hAnsi="Garamond"/>
          <w:sz w:val="24"/>
          <w:szCs w:val="24"/>
        </w:rPr>
        <w:t xml:space="preserve"> </w:t>
      </w:r>
    </w:p>
    <w:p w14:paraId="3AB6E30B" w14:textId="6854BF9D" w:rsidR="0073099D" w:rsidRDefault="00B50C60" w:rsidP="00284A3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eliminatoria sudamericana </w:t>
      </w:r>
      <w:r w:rsidR="00362418">
        <w:rPr>
          <w:rFonts w:ascii="Garamond" w:hAnsi="Garamond"/>
          <w:sz w:val="24"/>
          <w:szCs w:val="24"/>
        </w:rPr>
        <w:t>Q</w:t>
      </w:r>
      <w:r>
        <w:rPr>
          <w:rFonts w:ascii="Garamond" w:hAnsi="Garamond"/>
          <w:sz w:val="24"/>
          <w:szCs w:val="24"/>
        </w:rPr>
        <w:t xml:space="preserve">atar 2022 es un torneo internacional en </w:t>
      </w:r>
      <w:r w:rsidR="00EB5FA1">
        <w:rPr>
          <w:rFonts w:ascii="Garamond" w:hAnsi="Garamond"/>
          <w:sz w:val="24"/>
          <w:szCs w:val="24"/>
        </w:rPr>
        <w:t>el</w:t>
      </w:r>
      <w:r>
        <w:rPr>
          <w:rFonts w:ascii="Garamond" w:hAnsi="Garamond"/>
          <w:sz w:val="24"/>
          <w:szCs w:val="24"/>
        </w:rPr>
        <w:t xml:space="preserve"> cual participan 10 selecciones de fútbol de países sudamericanos: Argentina, Bolivia, Brasil, Chile, Colombia, Ecuador, Paraguay, Perú, Uruguay, y Venezuela</w:t>
      </w:r>
      <w:r w:rsidR="00EB5FA1">
        <w:rPr>
          <w:rFonts w:ascii="Garamond" w:hAnsi="Garamond"/>
          <w:sz w:val="24"/>
          <w:szCs w:val="24"/>
        </w:rPr>
        <w:t xml:space="preserve">, en un sistema todos contra todos con partidas de ida y vuelta. </w:t>
      </w:r>
      <w:r w:rsidR="00E31C43">
        <w:rPr>
          <w:rFonts w:ascii="Garamond" w:hAnsi="Garamond"/>
          <w:sz w:val="24"/>
          <w:szCs w:val="24"/>
        </w:rPr>
        <w:t>Los primeros 4 equipos clasificarán directamente a la copa mundial</w:t>
      </w:r>
      <w:r w:rsidR="00362418">
        <w:rPr>
          <w:rFonts w:ascii="Garamond" w:hAnsi="Garamond"/>
          <w:sz w:val="24"/>
          <w:szCs w:val="24"/>
        </w:rPr>
        <w:t xml:space="preserve"> Qatar 2022</w:t>
      </w:r>
      <w:r w:rsidR="00E31C43">
        <w:rPr>
          <w:rFonts w:ascii="Garamond" w:hAnsi="Garamond"/>
          <w:sz w:val="24"/>
          <w:szCs w:val="24"/>
        </w:rPr>
        <w:t>, mientras que el equipo que logre la 5ta posición irá a repechaje internacional.</w:t>
      </w:r>
      <w:r w:rsidR="00E02FB3">
        <w:rPr>
          <w:rFonts w:ascii="Garamond" w:hAnsi="Garamond"/>
          <w:sz w:val="24"/>
          <w:szCs w:val="24"/>
        </w:rPr>
        <w:t xml:space="preserve"> </w:t>
      </w:r>
      <w:r w:rsidR="00EB5FA1">
        <w:rPr>
          <w:rFonts w:ascii="Garamond" w:hAnsi="Garamond"/>
          <w:sz w:val="24"/>
          <w:szCs w:val="24"/>
        </w:rPr>
        <w:t>Faltando 4 fechas para finalizar el torneo (y con un partido aplazado Argentina vs Brasil), la tabla de clasificación es la siguiente:</w:t>
      </w:r>
    </w:p>
    <w:p w14:paraId="12241834" w14:textId="09D739C0" w:rsidR="00EB5FA1" w:rsidRDefault="00E31C43" w:rsidP="00284A3C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2B8CFF" wp14:editId="4668D0D5">
            <wp:extent cx="2714625" cy="1980942"/>
            <wp:effectExtent l="0" t="0" r="0" b="0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318" cy="202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559" w14:textId="61890AE6" w:rsidR="00E31C43" w:rsidRDefault="00E31C43" w:rsidP="00284A3C">
      <w:pPr>
        <w:jc w:val="right"/>
        <w:rPr>
          <w:rFonts w:ascii="Garamond" w:hAnsi="Garamond"/>
          <w:sz w:val="20"/>
          <w:szCs w:val="20"/>
        </w:rPr>
      </w:pPr>
      <w:r w:rsidRPr="00E31C43">
        <w:rPr>
          <w:rFonts w:ascii="Garamond" w:hAnsi="Garamond"/>
          <w:sz w:val="20"/>
          <w:szCs w:val="20"/>
        </w:rPr>
        <w:t xml:space="preserve">Figura tomada de: </w:t>
      </w:r>
      <w:hyperlink r:id="rId9" w:history="1">
        <w:r w:rsidRPr="00E31C43">
          <w:rPr>
            <w:rStyle w:val="Hipervnculo"/>
            <w:rFonts w:ascii="Garamond" w:hAnsi="Garamond"/>
            <w:sz w:val="20"/>
            <w:szCs w:val="20"/>
          </w:rPr>
          <w:t>https://www.conmebol.com/es/eliminatorias-sudamericanas-catar-2022</w:t>
        </w:r>
      </w:hyperlink>
    </w:p>
    <w:p w14:paraId="772EA17C" w14:textId="71305EE1" w:rsidR="00362418" w:rsidRPr="00362418" w:rsidRDefault="00BC0691" w:rsidP="00284A3C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24"/>
          <w:szCs w:val="24"/>
        </w:rPr>
        <w:t xml:space="preserve">En el archivo </w:t>
      </w:r>
      <w:r w:rsidRPr="00BC0691">
        <w:rPr>
          <w:rFonts w:ascii="Garamond" w:hAnsi="Garamond"/>
          <w:color w:val="0070C0"/>
          <w:sz w:val="24"/>
          <w:szCs w:val="24"/>
        </w:rPr>
        <w:t>“partidos_Qatar2022.csv”</w:t>
      </w:r>
      <w:r w:rsidR="00362418" w:rsidRPr="00BC0691">
        <w:rPr>
          <w:rFonts w:ascii="Garamond" w:hAnsi="Garamond"/>
          <w:color w:val="0070C0"/>
          <w:sz w:val="24"/>
          <w:szCs w:val="24"/>
        </w:rPr>
        <w:t xml:space="preserve"> </w:t>
      </w:r>
      <w:r w:rsidR="00362418">
        <w:rPr>
          <w:rFonts w:ascii="Garamond" w:hAnsi="Garamond"/>
          <w:sz w:val="24"/>
          <w:szCs w:val="24"/>
        </w:rPr>
        <w:t>podrán encontrar también un listado completo de los partidos faltantes</w:t>
      </w:r>
      <w:r w:rsidR="0019157F">
        <w:rPr>
          <w:rFonts w:ascii="Garamond" w:hAnsi="Garamond"/>
          <w:sz w:val="24"/>
          <w:szCs w:val="24"/>
        </w:rPr>
        <w:t>.</w:t>
      </w:r>
      <w:r w:rsidR="001B01EA">
        <w:rPr>
          <w:rFonts w:ascii="Garamond" w:hAnsi="Garamond"/>
          <w:sz w:val="24"/>
          <w:szCs w:val="24"/>
        </w:rPr>
        <w:t xml:space="preserve"> Asuma que el partido faltante Brasil-Argentina se jugará al final del torneo.</w:t>
      </w:r>
    </w:p>
    <w:p w14:paraId="48C91811" w14:textId="1D4C282D" w:rsidR="00887A0D" w:rsidRDefault="00E31C43" w:rsidP="00284A3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fuerza de juego de cada una de las selecciones se puede modelar mediante </w:t>
      </w:r>
      <w:r w:rsidR="00362418">
        <w:rPr>
          <w:rFonts w:ascii="Garamond" w:hAnsi="Garamond"/>
          <w:sz w:val="24"/>
          <w:szCs w:val="24"/>
        </w:rPr>
        <w:t>el puntaje ELO (rating ELO) para fútbol disponible</w:t>
      </w:r>
      <w:r w:rsidR="00BC0691">
        <w:rPr>
          <w:rFonts w:ascii="Garamond" w:hAnsi="Garamond"/>
          <w:sz w:val="24"/>
          <w:szCs w:val="24"/>
        </w:rPr>
        <w:t xml:space="preserve"> en el archivo </w:t>
      </w:r>
      <w:r w:rsidR="00BC0691" w:rsidRPr="00BC0691">
        <w:rPr>
          <w:rFonts w:ascii="Garamond" w:hAnsi="Garamond"/>
          <w:color w:val="0070C0"/>
          <w:sz w:val="24"/>
          <w:szCs w:val="24"/>
        </w:rPr>
        <w:t>“ELOconmebol.csv”</w:t>
      </w:r>
      <w:r w:rsidR="00362418">
        <w:rPr>
          <w:rFonts w:ascii="Garamond" w:hAnsi="Garamond"/>
          <w:sz w:val="24"/>
          <w:szCs w:val="24"/>
        </w:rPr>
        <w:t>. Y las probabilidades de victoria, empate o derrota se pueden modelar teniendo en cuenta la diferencia ELO</w:t>
      </w:r>
      <w:r w:rsidR="001B01EA">
        <w:rPr>
          <w:rFonts w:ascii="Garamond" w:hAnsi="Garamond"/>
          <w:sz w:val="24"/>
          <w:szCs w:val="24"/>
        </w:rPr>
        <w:t xml:space="preserve"> entre los dos equipos contrincantes</w:t>
      </w:r>
      <w:r w:rsidR="0019157F">
        <w:rPr>
          <w:rFonts w:ascii="Garamond" w:hAnsi="Garamond"/>
          <w:sz w:val="24"/>
          <w:szCs w:val="24"/>
        </w:rPr>
        <w:t xml:space="preserve">, utilizando las funciones descritas </w:t>
      </w:r>
      <w:r w:rsidR="008B4B84">
        <w:rPr>
          <w:rFonts w:ascii="Garamond" w:hAnsi="Garamond"/>
          <w:sz w:val="24"/>
          <w:szCs w:val="24"/>
        </w:rPr>
        <w:t>a continuación:</w:t>
      </w:r>
    </w:p>
    <w:p w14:paraId="360A017A" w14:textId="77777777" w:rsidR="008B4B84" w:rsidRPr="00D0402B" w:rsidRDefault="00B165F0" w:rsidP="00284A3C">
      <w:pPr>
        <w:pStyle w:val="Textoindependiente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empate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(dr)=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-(dr/200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/2</m:t>
                  </m:r>
                </m:den>
              </m:f>
            </m:sup>
          </m:sSup>
        </m:oMath>
      </m:oMathPara>
    </w:p>
    <w:p w14:paraId="38E77784" w14:textId="77777777" w:rsidR="008B4B84" w:rsidRPr="00D0402B" w:rsidRDefault="00B165F0" w:rsidP="00284A3C">
      <w:pPr>
        <w:pStyle w:val="FirstParagraph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victoria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(dr)=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-dr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400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empate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(dr)</m:t>
          </m:r>
        </m:oMath>
      </m:oMathPara>
    </w:p>
    <w:p w14:paraId="22E0E6C2" w14:textId="77777777" w:rsidR="008B4B84" w:rsidRPr="00D0402B" w:rsidRDefault="00B165F0" w:rsidP="00284A3C">
      <w:pPr>
        <w:pStyle w:val="FirstParagraph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pérdida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(dr)=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400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empate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(dr)</m:t>
          </m:r>
        </m:oMath>
      </m:oMathPara>
    </w:p>
    <w:p w14:paraId="045A5631" w14:textId="18209F2A" w:rsidR="00667F9C" w:rsidRDefault="008B4B84" w:rsidP="00284A3C">
      <w:pPr>
        <w:jc w:val="both"/>
        <w:rPr>
          <w:rFonts w:ascii="Garamond" w:eastAsiaTheme="minorEastAsia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</w:rPr>
        <w:t>Observe que para cada diferencia de rating (</w:t>
      </w:r>
      <w:proofErr w:type="spellStart"/>
      <w:r>
        <w:rPr>
          <w:rFonts w:ascii="Garamond" w:hAnsi="Garamond"/>
          <w:sz w:val="24"/>
          <w:szCs w:val="24"/>
        </w:rPr>
        <w:t>dr</w:t>
      </w:r>
      <w:proofErr w:type="spellEnd"/>
      <w:r>
        <w:rPr>
          <w:rFonts w:ascii="Garamond" w:hAnsi="Garamond"/>
          <w:sz w:val="24"/>
          <w:szCs w:val="24"/>
        </w:rPr>
        <w:t xml:space="preserve">), el valor de la sumatoria de probabilidades debe ser 1. Esto es: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empate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victoria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pérdida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</m:t>
        </m:r>
      </m:oMath>
      <w:r>
        <w:rPr>
          <w:rFonts w:ascii="Garamond" w:eastAsiaTheme="minorEastAsia" w:hAnsi="Garamond"/>
          <w:sz w:val="24"/>
          <w:szCs w:val="24"/>
          <w:lang w:val="en-US"/>
        </w:rPr>
        <w:t>.</w:t>
      </w:r>
    </w:p>
    <w:p w14:paraId="2A049025" w14:textId="66781BA9" w:rsidR="00667F9C" w:rsidRDefault="008B4B84" w:rsidP="00284A3C">
      <w:p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  <w:lang w:val="en-US"/>
        </w:rPr>
        <w:t>En</w:t>
      </w:r>
      <w:proofErr w:type="spellEnd"/>
      <w:r>
        <w:rPr>
          <w:rFonts w:ascii="Garamond" w:eastAsiaTheme="minorEastAsia" w:hAnsi="Garamond"/>
          <w:sz w:val="24"/>
          <w:szCs w:val="24"/>
          <w:lang w:val="en-US"/>
        </w:rPr>
        <w:t xml:space="preserve"> la </w:t>
      </w:r>
      <w:proofErr w:type="spellStart"/>
      <w:r>
        <w:rPr>
          <w:rFonts w:ascii="Garamond" w:eastAsiaTheme="minorEastAsia" w:hAnsi="Garamond"/>
          <w:sz w:val="24"/>
          <w:szCs w:val="24"/>
          <w:lang w:val="en-US"/>
        </w:rPr>
        <w:t>siguiente</w:t>
      </w:r>
      <w:proofErr w:type="spellEnd"/>
      <w:r>
        <w:rPr>
          <w:rFonts w:ascii="Garamond" w:eastAsiaTheme="minorEastAsia" w:hAnsi="Garamond"/>
          <w:sz w:val="24"/>
          <w:szCs w:val="24"/>
          <w:lang w:val="en-US"/>
        </w:rPr>
        <w:t xml:space="preserve"> </w:t>
      </w:r>
      <w:proofErr w:type="spellStart"/>
      <w:r>
        <w:rPr>
          <w:rFonts w:ascii="Garamond" w:eastAsiaTheme="minorEastAsia" w:hAnsi="Garamond"/>
          <w:sz w:val="24"/>
          <w:szCs w:val="24"/>
          <w:lang w:val="en-US"/>
        </w:rPr>
        <w:t>figura</w:t>
      </w:r>
      <w:proofErr w:type="spellEnd"/>
      <w:r>
        <w:rPr>
          <w:rFonts w:ascii="Garamond" w:eastAsiaTheme="minorEastAsia" w:hAnsi="Garamond"/>
          <w:sz w:val="24"/>
          <w:szCs w:val="24"/>
          <w:lang w:val="en-US"/>
        </w:rPr>
        <w:t xml:space="preserve"> se </w:t>
      </w:r>
      <w:proofErr w:type="spellStart"/>
      <w:r>
        <w:rPr>
          <w:rFonts w:ascii="Garamond" w:eastAsiaTheme="minorEastAsia" w:hAnsi="Garamond"/>
          <w:sz w:val="24"/>
          <w:szCs w:val="24"/>
          <w:lang w:val="en-US"/>
        </w:rPr>
        <w:t>observa</w:t>
      </w:r>
      <w:proofErr w:type="spellEnd"/>
      <w:r>
        <w:rPr>
          <w:rFonts w:ascii="Garamond" w:eastAsiaTheme="minorEastAsia" w:hAnsi="Garamond"/>
          <w:sz w:val="24"/>
          <w:szCs w:val="24"/>
          <w:lang w:val="en-US"/>
        </w:rPr>
        <w:t xml:space="preserve"> la </w:t>
      </w:r>
      <w:proofErr w:type="spellStart"/>
      <w:r>
        <w:rPr>
          <w:rFonts w:ascii="Garamond" w:eastAsiaTheme="minorEastAsia" w:hAnsi="Garamond"/>
          <w:sz w:val="24"/>
          <w:szCs w:val="24"/>
          <w:lang w:val="en-US"/>
        </w:rPr>
        <w:t>gráfica</w:t>
      </w:r>
      <w:proofErr w:type="spellEnd"/>
      <w:r>
        <w:rPr>
          <w:rFonts w:ascii="Garamond" w:eastAsiaTheme="minorEastAsia" w:hAnsi="Garamond"/>
          <w:sz w:val="24"/>
          <w:szCs w:val="24"/>
          <w:lang w:val="en-US"/>
        </w:rPr>
        <w:t xml:space="preserve"> de las </w:t>
      </w:r>
      <w:proofErr w:type="spellStart"/>
      <w:r>
        <w:rPr>
          <w:rFonts w:ascii="Garamond" w:eastAsiaTheme="minorEastAsia" w:hAnsi="Garamond"/>
          <w:sz w:val="24"/>
          <w:szCs w:val="24"/>
          <w:lang w:val="en-US"/>
        </w:rPr>
        <w:t>probabilidad</w:t>
      </w:r>
      <w:proofErr w:type="spellEnd"/>
      <w:r>
        <w:rPr>
          <w:rFonts w:ascii="Garamond" w:eastAsiaTheme="minorEastAsia" w:hAnsi="Garamond"/>
          <w:sz w:val="24"/>
          <w:szCs w:val="24"/>
          <w:lang w:val="en-US"/>
        </w:rPr>
        <w:t xml:space="preserve"> </w:t>
      </w:r>
      <w:proofErr w:type="spellStart"/>
      <w:r>
        <w:rPr>
          <w:rFonts w:ascii="Garamond" w:eastAsiaTheme="minorEastAsia" w:hAnsi="Garamond"/>
          <w:sz w:val="24"/>
          <w:szCs w:val="24"/>
          <w:lang w:val="en-US"/>
        </w:rPr>
        <w:t>en</w:t>
      </w:r>
      <w:proofErr w:type="spellEnd"/>
      <w:r>
        <w:rPr>
          <w:rFonts w:ascii="Garamond" w:eastAsiaTheme="minorEastAsia" w:hAnsi="Garamond"/>
          <w:sz w:val="24"/>
          <w:szCs w:val="24"/>
          <w:lang w:val="en-US"/>
        </w:rPr>
        <w:t xml:space="preserve"> </w:t>
      </w:r>
      <w:proofErr w:type="spellStart"/>
      <w:r>
        <w:rPr>
          <w:rFonts w:ascii="Garamond" w:eastAsiaTheme="minorEastAsia" w:hAnsi="Garamond"/>
          <w:sz w:val="24"/>
          <w:szCs w:val="24"/>
          <w:lang w:val="en-US"/>
        </w:rPr>
        <w:t>función</w:t>
      </w:r>
      <w:proofErr w:type="spellEnd"/>
      <w:r>
        <w:rPr>
          <w:rFonts w:ascii="Garamond" w:eastAsiaTheme="minorEastAsia" w:hAnsi="Garamond"/>
          <w:sz w:val="24"/>
          <w:szCs w:val="24"/>
          <w:lang w:val="en-US"/>
        </w:rPr>
        <w:t xml:space="preserve"> de la </w:t>
      </w:r>
      <w:proofErr w:type="spellStart"/>
      <w:r>
        <w:rPr>
          <w:rFonts w:ascii="Garamond" w:eastAsiaTheme="minorEastAsia" w:hAnsi="Garamond"/>
          <w:sz w:val="24"/>
          <w:szCs w:val="24"/>
          <w:lang w:val="en-US"/>
        </w:rPr>
        <w:t>diferencia</w:t>
      </w:r>
      <w:proofErr w:type="spellEnd"/>
      <w:r>
        <w:rPr>
          <w:rFonts w:ascii="Garamond" w:eastAsiaTheme="minorEastAsia" w:hAnsi="Garamond"/>
          <w:sz w:val="24"/>
          <w:szCs w:val="24"/>
          <w:lang w:val="en-US"/>
        </w:rPr>
        <w:t xml:space="preserve"> de rating:</w:t>
      </w:r>
    </w:p>
    <w:p w14:paraId="28CA04ED" w14:textId="504FDF4D" w:rsidR="00D90A39" w:rsidRDefault="00D90A39" w:rsidP="00284A3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2336604C" wp14:editId="33BF02B0">
            <wp:extent cx="3638550" cy="2245378"/>
            <wp:effectExtent l="0" t="0" r="0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582" cy="22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FE16" w14:textId="5BB09BE6" w:rsidR="00362418" w:rsidRDefault="00887A0D" w:rsidP="00284A3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Asumiendo en la simulación que para una victoria siempre tendremos un marcador (1-0), para un empate tendremos un marcador (0-0) y para un partido perdido un resultado (0-1), realice una simulación de l</w:t>
      </w:r>
      <w:r w:rsidR="00D90A39">
        <w:rPr>
          <w:rFonts w:ascii="Garamond" w:hAnsi="Garamond"/>
          <w:sz w:val="24"/>
          <w:szCs w:val="24"/>
        </w:rPr>
        <w:t>os partidos faltantes para la</w:t>
      </w:r>
      <w:r>
        <w:rPr>
          <w:rFonts w:ascii="Garamond" w:hAnsi="Garamond"/>
          <w:sz w:val="24"/>
          <w:szCs w:val="24"/>
        </w:rPr>
        <w:t xml:space="preserve"> finalización del torneo.</w:t>
      </w:r>
    </w:p>
    <w:p w14:paraId="163C3E17" w14:textId="33C58AB5" w:rsidR="00887A0D" w:rsidRDefault="00887A0D" w:rsidP="00284A3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Usando al menos 10</w:t>
      </w:r>
      <w:r w:rsidR="00D0402B">
        <w:rPr>
          <w:rFonts w:ascii="Garamond" w:hAnsi="Garamond"/>
          <w:sz w:val="24"/>
          <w:szCs w:val="24"/>
        </w:rPr>
        <w:t>0</w:t>
      </w:r>
      <w:r>
        <w:rPr>
          <w:rFonts w:ascii="Garamond" w:hAnsi="Garamond"/>
          <w:sz w:val="24"/>
          <w:szCs w:val="24"/>
        </w:rPr>
        <w:t xml:space="preserve">00 réplicas de simulación responda las siguientes preguntas: ¿Cuál es la probabilidad de que </w:t>
      </w:r>
      <w:r w:rsidR="005E46EA">
        <w:rPr>
          <w:rFonts w:ascii="Garamond" w:hAnsi="Garamond"/>
          <w:sz w:val="24"/>
          <w:szCs w:val="24"/>
        </w:rPr>
        <w:t xml:space="preserve">la selección </w:t>
      </w:r>
      <w:r>
        <w:rPr>
          <w:rFonts w:ascii="Garamond" w:hAnsi="Garamond"/>
          <w:sz w:val="24"/>
          <w:szCs w:val="24"/>
        </w:rPr>
        <w:t>Colombia clasifique directamente al mundial?</w:t>
      </w:r>
      <w:r w:rsidR="005E46EA">
        <w:rPr>
          <w:rFonts w:ascii="Garamond" w:hAnsi="Garamond"/>
          <w:sz w:val="24"/>
          <w:szCs w:val="24"/>
        </w:rPr>
        <w:t xml:space="preserve"> ¿Cuál es la probabilidad de que la selección Colombia vaya a repechaje internacional? ¿Cuál es la probabilidad de que la selección Colombia quede por fuera del mundial?</w:t>
      </w:r>
    </w:p>
    <w:p w14:paraId="29C61058" w14:textId="2638D1D6" w:rsidR="00362418" w:rsidRPr="00B50C60" w:rsidRDefault="005E46EA" w:rsidP="00284A3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Finalmente, utilizando los resultados de las simulaciones realice una tabla indicando la probabilidad de </w:t>
      </w:r>
      <w:r w:rsidR="00667F9C">
        <w:rPr>
          <w:rFonts w:ascii="Garamond" w:hAnsi="Garamond"/>
          <w:sz w:val="24"/>
          <w:szCs w:val="24"/>
        </w:rPr>
        <w:t>que</w:t>
      </w:r>
      <w:r>
        <w:rPr>
          <w:rFonts w:ascii="Garamond" w:hAnsi="Garamond"/>
          <w:sz w:val="24"/>
          <w:szCs w:val="24"/>
        </w:rPr>
        <w:t xml:space="preserve"> cada una de las selecciones que participan en el torneo </w:t>
      </w:r>
      <w:r w:rsidR="00667F9C">
        <w:rPr>
          <w:rFonts w:ascii="Garamond" w:hAnsi="Garamond"/>
          <w:sz w:val="24"/>
          <w:szCs w:val="24"/>
        </w:rPr>
        <w:t>clasifique al mundial de fútbol Qatar 2022.</w:t>
      </w:r>
    </w:p>
    <w:sectPr w:rsidR="00362418" w:rsidRPr="00B50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B842B" w14:textId="77777777" w:rsidR="00B165F0" w:rsidRDefault="00B165F0" w:rsidP="00887A0D">
      <w:pPr>
        <w:spacing w:after="0" w:line="240" w:lineRule="auto"/>
      </w:pPr>
      <w:r>
        <w:separator/>
      </w:r>
    </w:p>
  </w:endnote>
  <w:endnote w:type="continuationSeparator" w:id="0">
    <w:p w14:paraId="0C497012" w14:textId="77777777" w:rsidR="00B165F0" w:rsidRDefault="00B165F0" w:rsidP="00887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ED74" w14:textId="77777777" w:rsidR="00B165F0" w:rsidRDefault="00B165F0" w:rsidP="00887A0D">
      <w:pPr>
        <w:spacing w:after="0" w:line="240" w:lineRule="auto"/>
      </w:pPr>
      <w:r>
        <w:separator/>
      </w:r>
    </w:p>
  </w:footnote>
  <w:footnote w:type="continuationSeparator" w:id="0">
    <w:p w14:paraId="40AE9ADC" w14:textId="77777777" w:rsidR="00B165F0" w:rsidRDefault="00B165F0" w:rsidP="00887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665"/>
    <w:multiLevelType w:val="hybridMultilevel"/>
    <w:tmpl w:val="CB482BDE"/>
    <w:lvl w:ilvl="0" w:tplc="BAFCD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6206"/>
    <w:multiLevelType w:val="hybridMultilevel"/>
    <w:tmpl w:val="DE1A2D0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B3AF3"/>
    <w:multiLevelType w:val="hybridMultilevel"/>
    <w:tmpl w:val="B20853D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A2C"/>
    <w:rsid w:val="000841E2"/>
    <w:rsid w:val="0012118E"/>
    <w:rsid w:val="0019157F"/>
    <w:rsid w:val="001B01EA"/>
    <w:rsid w:val="001F3C8C"/>
    <w:rsid w:val="002372D2"/>
    <w:rsid w:val="00254571"/>
    <w:rsid w:val="00284A3C"/>
    <w:rsid w:val="002B6434"/>
    <w:rsid w:val="003100F7"/>
    <w:rsid w:val="00362418"/>
    <w:rsid w:val="00365343"/>
    <w:rsid w:val="003A01D3"/>
    <w:rsid w:val="00412BFA"/>
    <w:rsid w:val="005757AA"/>
    <w:rsid w:val="005778CD"/>
    <w:rsid w:val="005E46EA"/>
    <w:rsid w:val="005F668E"/>
    <w:rsid w:val="00667F9C"/>
    <w:rsid w:val="006845F1"/>
    <w:rsid w:val="006D5D10"/>
    <w:rsid w:val="006E44F0"/>
    <w:rsid w:val="0073099D"/>
    <w:rsid w:val="007523CA"/>
    <w:rsid w:val="00774FF5"/>
    <w:rsid w:val="00814B20"/>
    <w:rsid w:val="00822F6B"/>
    <w:rsid w:val="00887A0D"/>
    <w:rsid w:val="008B4B84"/>
    <w:rsid w:val="008F35E1"/>
    <w:rsid w:val="009361EB"/>
    <w:rsid w:val="00971BB8"/>
    <w:rsid w:val="00993941"/>
    <w:rsid w:val="009A161B"/>
    <w:rsid w:val="009D2AEE"/>
    <w:rsid w:val="00A57CC9"/>
    <w:rsid w:val="00AA7EDB"/>
    <w:rsid w:val="00AE1FF0"/>
    <w:rsid w:val="00B165F0"/>
    <w:rsid w:val="00B50C60"/>
    <w:rsid w:val="00B92A2C"/>
    <w:rsid w:val="00BA66BF"/>
    <w:rsid w:val="00BA6957"/>
    <w:rsid w:val="00BC0691"/>
    <w:rsid w:val="00D0402B"/>
    <w:rsid w:val="00D90A39"/>
    <w:rsid w:val="00E02FB3"/>
    <w:rsid w:val="00E07279"/>
    <w:rsid w:val="00E243DD"/>
    <w:rsid w:val="00E31C43"/>
    <w:rsid w:val="00E33594"/>
    <w:rsid w:val="00EB5FA1"/>
    <w:rsid w:val="00EC636D"/>
    <w:rsid w:val="00F05580"/>
    <w:rsid w:val="00FB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A02"/>
  <w15:docId w15:val="{1CCE3807-20C4-4132-AE53-ACD594EA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A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78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78CD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7A0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7A0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87A0D"/>
    <w:rPr>
      <w:vertAlign w:val="superscript"/>
    </w:rPr>
  </w:style>
  <w:style w:type="paragraph" w:styleId="Textoindependiente">
    <w:name w:val="Body Text"/>
    <w:basedOn w:val="Normal"/>
    <w:link w:val="TextoindependienteCar"/>
    <w:semiHidden/>
    <w:unhideWhenUsed/>
    <w:qFormat/>
    <w:rsid w:val="008B4B84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B4B84"/>
    <w:rPr>
      <w:sz w:val="24"/>
      <w:szCs w:val="24"/>
      <w:lang w:val="en-US"/>
    </w:rPr>
  </w:style>
  <w:style w:type="paragraph" w:customStyle="1" w:styleId="FirstParagraph">
    <w:name w:val="First Paragraph"/>
    <w:basedOn w:val="Textoindependiente"/>
    <w:next w:val="Textoindependiente"/>
    <w:qFormat/>
    <w:rsid w:val="008B4B84"/>
  </w:style>
  <w:style w:type="character" w:styleId="Hipervnculovisitado">
    <w:name w:val="FollowedHyperlink"/>
    <w:basedOn w:val="Fuentedeprrafopredeter"/>
    <w:uiPriority w:val="99"/>
    <w:semiHidden/>
    <w:unhideWhenUsed/>
    <w:rsid w:val="00BA6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onmebol.com/es/eliminatorias-sudamericanas-catar-20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02E86-7617-48F6-8D5B-2EA5BFA76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EDMUNDO ROMO BUCHELI</dc:creator>
  <cp:keywords/>
  <dc:description/>
  <cp:lastModifiedBy>David Romo</cp:lastModifiedBy>
  <cp:revision>6</cp:revision>
  <dcterms:created xsi:type="dcterms:W3CDTF">2022-01-19T14:48:00Z</dcterms:created>
  <dcterms:modified xsi:type="dcterms:W3CDTF">2022-01-19T17:48:00Z</dcterms:modified>
</cp:coreProperties>
</file>