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Decision Fatigue 2025: Executive Function Collapse in a Perma‑Crisis Economy</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03">
      <w:pPr>
        <w:spacing w:after="240" w:before="240" w:lineRule="auto"/>
        <w:rPr/>
      </w:pPr>
      <w:r w:rsidDel="00000000" w:rsidR="00000000" w:rsidRPr="00000000">
        <w:rPr>
          <w:rtl w:val="0"/>
        </w:rPr>
        <w:t xml:space="preserve">The American mind is threadbare. Half a decade of rolling shocks—pandemic fallout, whiplash inflation, AI‑driven information overload, and climate‑spiked disasters—has forced citizens to navigate life through nonstop contingency. Each new variable demands another choice: shift jobs or stay, stock groceries or save cash, trust the algorithm’s headline or dig for context. Cognitive bandwidth is finite; we are spending it faster than we regenerate it. Decision fatigue is now a population‑scale deficit in executive function, visible in impulsive spending, long‑term planning paralysis, and a rising appetite for simplistic political slogans. This report charts the current drivers, the groups carrying the heaviest cognitive load, and the policy levers that can reopen strategic thinking for the public.</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Definition and Context</w:t>
      </w:r>
    </w:p>
    <w:p w:rsidR="00000000" w:rsidDel="00000000" w:rsidP="00000000" w:rsidRDefault="00000000" w:rsidRPr="00000000" w14:paraId="00000005">
      <w:pPr>
        <w:spacing w:after="240" w:before="240" w:lineRule="auto"/>
        <w:rPr/>
      </w:pPr>
      <w:r w:rsidDel="00000000" w:rsidR="00000000" w:rsidRPr="00000000">
        <w:rPr>
          <w:rtl w:val="0"/>
        </w:rPr>
        <w:t xml:space="preserve">Decision fatigue is the incremental decline in judgement quality that follows prolonged or high‑stakes choice making. In 2025, its roots run deeper than the acute COVID‑19 shock. Structural precarity—rental volatility, gig‑platform wage compression, and health‑care fragility—forces households into daily micro‑calculations with existential stakes. Meanwhile, generative‑AI media systems pump personalised news and ads into every idle moment, multiplying the number of decisions per day. The net effect is a relentless cognitive tax that pushes strategic thought off the mental ledger.</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Post‑Pandemic Afterburn</w:t>
      </w:r>
    </w:p>
    <w:p w:rsidR="00000000" w:rsidDel="00000000" w:rsidP="00000000" w:rsidRDefault="00000000" w:rsidRPr="00000000" w14:paraId="00000007">
      <w:pPr>
        <w:spacing w:after="240" w:before="240" w:lineRule="auto"/>
        <w:rPr/>
      </w:pPr>
      <w:r w:rsidDel="00000000" w:rsidR="00000000" w:rsidRPr="00000000">
        <w:rPr>
          <w:rtl w:val="0"/>
        </w:rPr>
        <w:t xml:space="preserve">Although lockdowns ended years ago, their metabolic drain lingers. Learning gaps from remote schooling still trail Gen‑Z into early careers; caregivers burnt out during the pandemic now juggle hybrid work while covering understaffed elder‑care systems; healthcare backlogs keep routine illness one unexpected bill away from catastrophe. The pandemic was not a single event but an accelerant, widening cracks that are now everyday fault lines.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Current Stress Multipliers</w:t>
      </w:r>
    </w:p>
    <w:p w:rsidR="00000000" w:rsidDel="00000000" w:rsidP="00000000" w:rsidRDefault="00000000" w:rsidRPr="00000000" w14:paraId="00000009">
      <w:pPr>
        <w:spacing w:after="240" w:before="240" w:lineRule="auto"/>
        <w:rPr/>
      </w:pPr>
      <w:r w:rsidDel="00000000" w:rsidR="00000000" w:rsidRPr="00000000">
        <w:rPr>
          <w:i w:val="1"/>
          <w:rtl w:val="0"/>
        </w:rPr>
        <w:t xml:space="preserve">Inflation Volatility:</w:t>
      </w:r>
      <w:r w:rsidDel="00000000" w:rsidR="00000000" w:rsidRPr="00000000">
        <w:rPr>
          <w:rtl w:val="0"/>
        </w:rPr>
        <w:t xml:space="preserve"> Two rapid CPI spikes (2023 and early 2025) forced households to juggle subscriptions, groceries, and loan payments month‑to‑month. Budget planning devolved into weekly triage.</w:t>
      </w:r>
    </w:p>
    <w:p w:rsidR="00000000" w:rsidDel="00000000" w:rsidP="00000000" w:rsidRDefault="00000000" w:rsidRPr="00000000" w14:paraId="0000000A">
      <w:pPr>
        <w:spacing w:after="240" w:before="240" w:lineRule="auto"/>
        <w:rPr/>
      </w:pPr>
      <w:r w:rsidDel="00000000" w:rsidR="00000000" w:rsidRPr="00000000">
        <w:rPr>
          <w:i w:val="1"/>
          <w:rtl w:val="0"/>
        </w:rPr>
        <w:t xml:space="preserve">AI‑Driven Info Firehose:</w:t>
      </w:r>
      <w:r w:rsidDel="00000000" w:rsidR="00000000" w:rsidRPr="00000000">
        <w:rPr>
          <w:rtl w:val="0"/>
        </w:rPr>
        <w:t xml:space="preserve"> Large‑language‑model content floods feeds with plausible but often unverified guidance. Veracity checks become another cognitive chore, further depleting bandwidth.</w:t>
      </w:r>
    </w:p>
    <w:p w:rsidR="00000000" w:rsidDel="00000000" w:rsidP="00000000" w:rsidRDefault="00000000" w:rsidRPr="00000000" w14:paraId="0000000B">
      <w:pPr>
        <w:spacing w:after="240" w:before="240" w:lineRule="auto"/>
        <w:rPr/>
      </w:pPr>
      <w:r w:rsidDel="00000000" w:rsidR="00000000" w:rsidRPr="00000000">
        <w:rPr>
          <w:i w:val="1"/>
          <w:rtl w:val="0"/>
        </w:rPr>
        <w:t xml:space="preserve">Climate Disruption:</w:t>
      </w:r>
      <w:r w:rsidDel="00000000" w:rsidR="00000000" w:rsidRPr="00000000">
        <w:rPr>
          <w:rtl w:val="0"/>
        </w:rPr>
        <w:t xml:space="preserve"> Record heat waves and insurance‑gap natural disasters turn weather forecasts into logistical planning sessions—evacuation routes, power‑outage prep, supply restocking—decisions once seasonal now constant.</w:t>
      </w:r>
    </w:p>
    <w:p w:rsidR="00000000" w:rsidDel="00000000" w:rsidP="00000000" w:rsidRDefault="00000000" w:rsidRPr="00000000" w14:paraId="0000000C">
      <w:pPr>
        <w:spacing w:after="240" w:before="240" w:lineRule="auto"/>
        <w:rPr/>
      </w:pPr>
      <w:r w:rsidDel="00000000" w:rsidR="00000000" w:rsidRPr="00000000">
        <w:rPr>
          <w:i w:val="1"/>
          <w:rtl w:val="0"/>
        </w:rPr>
        <w:t xml:space="preserve">Political Volatility:</w:t>
      </w:r>
      <w:r w:rsidDel="00000000" w:rsidR="00000000" w:rsidRPr="00000000">
        <w:rPr>
          <w:rtl w:val="0"/>
        </w:rPr>
        <w:t xml:space="preserve"> Rapid policy reversals at state and federal levels (student‑loan rulings, healthcare subsidy rollbacks, energy‑price caps) require continuous re‑evaluation of life plans that used to span years.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Who Bears the Brunt</w:t>
      </w:r>
    </w:p>
    <w:p w:rsidR="00000000" w:rsidDel="00000000" w:rsidP="00000000" w:rsidRDefault="00000000" w:rsidRPr="00000000" w14:paraId="0000000E">
      <w:pPr>
        <w:spacing w:after="240" w:before="240" w:lineRule="auto"/>
        <w:rPr/>
      </w:pPr>
      <w:r w:rsidDel="00000000" w:rsidR="00000000" w:rsidRPr="00000000">
        <w:rPr>
          <w:rtl w:val="0"/>
        </w:rPr>
        <w:t xml:space="preserve">Precarious workers—couriers, warehouse pickers, freelance coders—face algorithmic scheduling that changes by the hour. Young adults shoulder record housing costs and resume their debt balancing acts in a labour market that rewards polyvalent skillsets but offers little stability. Caregivers, predominantly women, thread caregiving and wage work through brittle support networks. Rural communities wrestle with service deserts and climate‑driven agricultural swings. Fixed‑income retirees confront medical inflation that erodes savings in real time. Each cohort fights a different battle, but all draw from the same dwindling pool of executive resources.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Democratic Drift</w:t>
      </w:r>
    </w:p>
    <w:p w:rsidR="00000000" w:rsidDel="00000000" w:rsidP="00000000" w:rsidRDefault="00000000" w:rsidRPr="00000000" w14:paraId="00000010">
      <w:pPr>
        <w:spacing w:after="240" w:before="240" w:lineRule="auto"/>
        <w:rPr/>
      </w:pPr>
      <w:r w:rsidDel="00000000" w:rsidR="00000000" w:rsidRPr="00000000">
        <w:rPr>
          <w:rtl w:val="0"/>
        </w:rPr>
        <w:t xml:space="preserve">Decision‑drained citizens disengage from nuance. They default to defaults—straight‑ticket voting, headline judgement, or opting out entirely. Complex policy loses oxygen; populist soundbites thrive. When the electorate is too tired to parse options, whoever offers the simplest frame wins the narrative, not necessarily the public good.</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Policy Levers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Reduce Existential Micro‑Decisions:</w:t>
      </w:r>
      <w:r w:rsidDel="00000000" w:rsidR="00000000" w:rsidRPr="00000000">
        <w:rPr>
          <w:rtl w:val="0"/>
        </w:rPr>
        <w:t xml:space="preserve"> Expand automatic enrolment and portability for benefits—retirement contributions, health insurance, disaster relief—to cut paperwork drag.</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Stabilise Costs That Trigger Panic:</w:t>
      </w:r>
      <w:r w:rsidDel="00000000" w:rsidR="00000000" w:rsidRPr="00000000">
        <w:rPr>
          <w:rtl w:val="0"/>
        </w:rPr>
        <w:t xml:space="preserve"> Reinforce rent‑control buffers, cap insulin and essential drug prices, and index student‑loan repayments to reliable income metrics rather than variable interest rates.</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Cognitive Infrastructure:</w:t>
      </w:r>
      <w:r w:rsidDel="00000000" w:rsidR="00000000" w:rsidRPr="00000000">
        <w:rPr>
          <w:rtl w:val="0"/>
        </w:rPr>
        <w:t xml:space="preserve"> Fund “one‑stop” civic portals with AI assistants for form‑filling, rights clarification, and benefits navigation, reducing bureaucratic choice friction.</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Digital Noise Regulation:</w:t>
      </w:r>
      <w:r w:rsidDel="00000000" w:rsidR="00000000" w:rsidRPr="00000000">
        <w:rPr>
          <w:rtl w:val="0"/>
        </w:rPr>
        <w:t xml:space="preserve"> Mandate provenance tagging on AI‑generated content and throttle manipulative engagement loops, shifting verification labour back to platforms.</w:t>
        <w:br w:type="textWrapping"/>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b w:val="1"/>
          <w:rtl w:val="0"/>
        </w:rPr>
        <w:t xml:space="preserve">Bandwidth‑Replenishing Social Services:</w:t>
      </w:r>
      <w:r w:rsidDel="00000000" w:rsidR="00000000" w:rsidRPr="00000000">
        <w:rPr>
          <w:rtl w:val="0"/>
        </w:rPr>
        <w:t xml:space="preserve"> Universal childcare credits, elder‑care stipends, and robust mental‑health coverage return discretionary attention to households.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Decision fatigue is not a post‑pandemic footnote—it is the default operating condition of a populace locked in perpetual crisis management. Treating it as a soft behavioural issue misses the structural drivers that keep piling choice on top of threat. Policies that remove existential uncertainty give citizens back the cognitive runway to plan, deliberate, and hold institutions accountable. If we fail to lighten the decision load, the electorate will continue to trade complexity for slogans, strategy for impulse, and collective foresight for short‑term survival.</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