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RETHINKING CONFLICT THEORY: RETIRING THE MARXIST MIRAGE</w:t>
      </w:r>
    </w:p>
    <w:p w:rsidR="00000000" w:rsidDel="00000000" w:rsidP="00000000" w:rsidRDefault="00000000" w:rsidRPr="00000000" w14:paraId="00000002">
      <w:pPr>
        <w:spacing w:after="240" w:before="240" w:lineRule="auto"/>
        <w:rPr/>
      </w:pPr>
      <w:r w:rsidDel="00000000" w:rsidR="00000000" w:rsidRPr="00000000">
        <w:rPr>
          <w:rtl w:val="0"/>
        </w:rPr>
        <w:t xml:space="preserve">Premise Modern conflict science—by which I mean the empirical study of how tension builds, bends, and ultimately breaks social systems—does not owe its core logic to Karl Marx. Headlines say otherwise, but the working models tell another story. Marx gave us slogans and a narrative arc; Weber, Simmel, Du Bois, Pareto, Sumner, and Ward built the instrumentation. What follows traces their lineage, shows where Marxism slips the rails, and explains why we should stop dragging his ghost through every policy debate.</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The Dialectic Starts with Hegel, Not Marx Hegel’s dialectic is a balancing instrument, not a demolition tool. He saw history as an endless loop of thesis meeting antithesis to generate synthesis—a new formation that </w:t>
      </w:r>
      <w:r w:rsidDel="00000000" w:rsidR="00000000" w:rsidRPr="00000000">
        <w:rPr>
          <w:b w:val="1"/>
          <w:rtl w:val="0"/>
        </w:rPr>
        <w:t xml:space="preserve">preserves</w:t>
      </w:r>
      <w:r w:rsidDel="00000000" w:rsidR="00000000" w:rsidRPr="00000000">
        <w:rPr>
          <w:rtl w:val="0"/>
        </w:rPr>
        <w:t xml:space="preserve"> useful elements from each prior moment while transcending their limits. Each cycle (Aufhebung) both cancels and </w:t>
      </w:r>
      <w:r w:rsidDel="00000000" w:rsidR="00000000" w:rsidRPr="00000000">
        <w:rPr>
          <w:b w:val="1"/>
          <w:rtl w:val="0"/>
        </w:rPr>
        <w:t xml:space="preserve">lifts</w:t>
      </w:r>
      <w:r w:rsidDel="00000000" w:rsidR="00000000" w:rsidRPr="00000000">
        <w:rPr>
          <w:rtl w:val="0"/>
        </w:rPr>
        <w:t xml:space="preserve">. The tension is the fuel; the goal is higher coherence, not the erasure of one side.</w:t>
      </w:r>
    </w:p>
    <w:p w:rsidR="00000000" w:rsidDel="00000000" w:rsidP="00000000" w:rsidRDefault="00000000" w:rsidRPr="00000000" w14:paraId="00000004">
      <w:pPr>
        <w:spacing w:after="240" w:before="240" w:lineRule="auto"/>
        <w:rPr/>
      </w:pPr>
      <w:r w:rsidDel="00000000" w:rsidR="00000000" w:rsidRPr="00000000">
        <w:rPr>
          <w:rtl w:val="0"/>
        </w:rPr>
        <w:t xml:space="preserve">Marx flipped that lens. He replaced Hegel’s metaphysical ballet with a materialist brawl and stapled the entire arc to one variable—class struggle. Instead of looking at how opposing forces fold into equilibrium, he treated contradiction as a zero‑sum subtraction in which the exploited must negate the exploiter. The built‑in balance Hegel prized became a moral debt ledger Marx demanded be wiped clean. Destiny (communism) replaced emergence. Flexibility became teleology, and teleology resists falsification—so the lens stopped being scientific.</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Marx’s Data—and Temperament—Problem Marx leaned on English Blue Books and factory testimonies that even contemporary statisticians flagged as partial. Later Marxists patched the holes, but the foundation assumed capitalism must collapse. That isn’t a model; it’s a prophecy. Karl Popper’s mid‑century critique still holds: a theory that cannot be wrong on its own terms is not a theory.</w:t>
      </w:r>
    </w:p>
    <w:p w:rsidR="00000000" w:rsidDel="00000000" w:rsidP="00000000" w:rsidRDefault="00000000" w:rsidRPr="00000000" w14:paraId="00000006">
      <w:pPr>
        <w:spacing w:after="240" w:before="240" w:lineRule="auto"/>
        <w:rPr/>
      </w:pPr>
      <w:r w:rsidDel="00000000" w:rsidR="00000000" w:rsidRPr="00000000">
        <w:rPr>
          <w:rtl w:val="0"/>
        </w:rPr>
        <w:t xml:space="preserve">Equally disqualifying was tone. Marx wrote with white‑hot moral outrage, often while scraping rent money from Engels and drowning frustration in prodigious pub sessions (friends joked he could quote Hegel faster than he could settle a bar tab). Moral fervor sharpened the rhetoric but fogged the instrument panel. He did not test the data so much as deploy it to indict. Science demands controlled comparison; Marx’s pages tilt under the weight of foregone conclusions—and a personal lens marinated in beer and chronic financial anxiety. The result is literature of protest, not a falsifiable framework.</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Who Actually Built the Framework—and How They Made It Scientific</w:t>
      </w:r>
    </w:p>
    <w:p w:rsidR="00000000" w:rsidDel="00000000" w:rsidP="00000000" w:rsidRDefault="00000000" w:rsidRPr="00000000" w14:paraId="00000008">
      <w:pPr>
        <w:spacing w:after="240" w:before="240" w:lineRule="auto"/>
        <w:rPr/>
      </w:pPr>
      <w:r w:rsidDel="00000000" w:rsidR="00000000" w:rsidRPr="00000000">
        <w:rPr>
          <w:rtl w:val="0"/>
        </w:rPr>
        <w:t xml:space="preserve">Quick litmus test: did the author count, compare, or model? If yes, science. If no, kvetching. The six thinkers below delivered the goods—listed now in order of birth.</w:t>
      </w:r>
    </w:p>
    <w:p w:rsidR="00000000" w:rsidDel="00000000" w:rsidP="00000000" w:rsidRDefault="00000000" w:rsidRPr="00000000" w14:paraId="00000009">
      <w:pPr>
        <w:spacing w:after="240" w:before="240" w:lineRule="auto"/>
        <w:rPr/>
      </w:pPr>
      <w:r w:rsidDel="00000000" w:rsidR="00000000" w:rsidRPr="00000000">
        <w:rPr>
          <w:rtl w:val="0"/>
        </w:rPr>
        <w:t xml:space="preserve">William Graham Sumner (1840–1910) Sumner coined “in‑group” and “out‑group,” then catalogued more than two hundred folkways from global ethnographies. By pattern‑matching those norms against conflict incidents he converted culture into a predictive variable. Impact: social‑identity theory and ethnic‑fractionalization indices. When the World Bank weights loan risk by ethnic composition, that’s Sumner’s math talking.</w:t>
      </w:r>
    </w:p>
    <w:p w:rsidR="00000000" w:rsidDel="00000000" w:rsidP="00000000" w:rsidRDefault="00000000" w:rsidRPr="00000000" w14:paraId="0000000A">
      <w:pPr>
        <w:spacing w:after="240" w:before="240" w:lineRule="auto"/>
        <w:rPr/>
      </w:pPr>
      <w:r w:rsidDel="00000000" w:rsidR="00000000" w:rsidRPr="00000000">
        <w:rPr>
          <w:rtl w:val="0"/>
        </w:rPr>
        <w:t xml:space="preserve">Lester Frank Ward (1841–1913) Ward rejected laissez‑faire fatalism and argued for telesis—steering society through feedback‑rich policy. He compiled climate, crop‑yield, and population tables to prove that targeted education and public works alter economic trajectories. Impact: experimental social legislation and the randomized controlled trial. New Deal public‑works metrics and modern development‑economics RCTs trace their pedigree to Ward’s insistence that interventions be measurable.</w:t>
      </w:r>
    </w:p>
    <w:p w:rsidR="00000000" w:rsidDel="00000000" w:rsidP="00000000" w:rsidRDefault="00000000" w:rsidRPr="00000000" w14:paraId="0000000B">
      <w:pPr>
        <w:spacing w:after="240" w:before="240" w:lineRule="auto"/>
        <w:rPr/>
      </w:pPr>
      <w:r w:rsidDel="00000000" w:rsidR="00000000" w:rsidRPr="00000000">
        <w:rPr>
          <w:rtl w:val="0"/>
        </w:rPr>
        <w:t xml:space="preserve">Vilfredo Pareto (1848–1923) Pareto collected tax records across Swiss cantons, fitted the distribution, and exposed a power‑law tail. Impact: heavy‑tail economics and risk management. Portfolio‑stress tests, supply‑chain fragility scores, and cyber‑breach probability curves all live on the branch he grew.</w:t>
      </w:r>
    </w:p>
    <w:p w:rsidR="00000000" w:rsidDel="00000000" w:rsidP="00000000" w:rsidRDefault="00000000" w:rsidRPr="00000000" w14:paraId="0000000C">
      <w:pPr>
        <w:spacing w:after="240" w:before="240" w:lineRule="auto"/>
        <w:rPr/>
      </w:pPr>
      <w:r w:rsidDel="00000000" w:rsidR="00000000" w:rsidRPr="00000000">
        <w:rPr>
          <w:rtl w:val="0"/>
        </w:rPr>
        <w:t xml:space="preserve">Georg Simmel (1858–1918) Simmel’s obsession with form over content produced a scale‑invariant grammar for social ties. By dissecting dyads, triads, and cross‑cutting circles, he showed how micro dynamics lattice into macro turbulence. Impact: network theory. From counter‑terrorism link charts to Twitter bot detection, analysts are running Simmel’s playbook—just with more nodes and better math.</w:t>
      </w:r>
    </w:p>
    <w:p w:rsidR="00000000" w:rsidDel="00000000" w:rsidP="00000000" w:rsidRDefault="00000000" w:rsidRPr="00000000" w14:paraId="0000000D">
      <w:pPr>
        <w:spacing w:after="240" w:before="240" w:lineRule="auto"/>
        <w:rPr/>
      </w:pPr>
      <w:r w:rsidDel="00000000" w:rsidR="00000000" w:rsidRPr="00000000">
        <w:rPr>
          <w:rtl w:val="0"/>
        </w:rPr>
        <w:t xml:space="preserve">Max Weber (1864–1920) Weber treated bureaucracy, religion, and markets as interlocking gears and insisted on Verstehen—rigorous, documented empathy—as the calibration step. He coined “ideal types” as falsifiable yardsticks: build the pure case, then measure real systems against it. Impact: his comparative‑historical method underpins modern institutional diagnostics. When the IMF audits a failing agency, the scoring grid is Weber in spreadsheet form. His stress‑path analysis of authority flows also seeded today’s organizational risk models.</w:t>
      </w:r>
    </w:p>
    <w:p w:rsidR="00000000" w:rsidDel="00000000" w:rsidP="00000000" w:rsidRDefault="00000000" w:rsidRPr="00000000" w14:paraId="0000000E">
      <w:pPr>
        <w:spacing w:after="240" w:before="240" w:lineRule="auto"/>
        <w:rPr/>
      </w:pPr>
      <w:r w:rsidDel="00000000" w:rsidR="00000000" w:rsidRPr="00000000">
        <w:rPr>
          <w:rtl w:val="0"/>
        </w:rPr>
        <w:t xml:space="preserve">W. E. B. Du Bois (1868–1963) Du Bois ran the first neighborhood‑level demographic survey in the United States and plotted the results on proto‑GIS maps. He layered ethnography onto statistics, built time‑series on wages, housing density, and public‑school throughput, then tested—rather than assumed—race–class hypotheses. Impact: intersectional analytics and social epidemiology. His method forecast red‑line neighborhood burnouts decades before urban planners coined the phrase.</w:t>
      </w:r>
    </w:p>
    <w:p w:rsidR="00000000" w:rsidDel="00000000" w:rsidP="00000000" w:rsidRDefault="00000000" w:rsidRPr="00000000" w14:paraId="0000000F">
      <w:pPr>
        <w:spacing w:after="240" w:before="240" w:lineRule="auto"/>
        <w:rPr/>
      </w:pPr>
      <w:r w:rsidDel="00000000" w:rsidR="00000000" w:rsidRPr="00000000">
        <w:rPr>
          <w:rtl w:val="0"/>
        </w:rPr>
        <w:t xml:space="preserve">Together these six bound theory to repeatable measurement and moved conflict studies from café polemics to lab‑grade instrumentation.</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Why Marxism Fails in the Lab When regimes followed the script—Soviet central planning, Mao’s Great Leap, North Korean juche—the result was data blackout, supply‑chain hallucination, and, in the DPRK’s case, famine. China’s post‑1978 survival hinged on Deng Xiaoping’s capitalist grafts, not on Das Kapital.</w:t>
      </w:r>
    </w:p>
    <w:p w:rsidR="00000000" w:rsidDel="00000000" w:rsidP="00000000" w:rsidRDefault="00000000" w:rsidRPr="00000000" w14:paraId="00000011">
      <w:pPr>
        <w:spacing w:after="240" w:before="240" w:lineRule="auto"/>
        <w:rPr/>
      </w:pPr>
      <w:r w:rsidDel="00000000" w:rsidR="00000000" w:rsidRPr="00000000">
        <w:rPr>
          <w:rtl w:val="0"/>
        </w:rPr>
        <w:t xml:space="preserve">The deeper failure is methodological. By focusing solely on grievances, Marxist analysis often treats every dysfunction as terminal rather than conditional. Pointing at factory smoke or famine graphs may highlight injustice, but it also freezes the observer at diagnosis: </w:t>
      </w:r>
      <w:r w:rsidDel="00000000" w:rsidR="00000000" w:rsidRPr="00000000">
        <w:rPr>
          <w:b w:val="1"/>
          <w:rtl w:val="0"/>
        </w:rPr>
        <w:t xml:space="preserve">what is wrong</w:t>
      </w:r>
      <w:r w:rsidDel="00000000" w:rsidR="00000000" w:rsidRPr="00000000">
        <w:rPr>
          <w:rtl w:val="0"/>
        </w:rPr>
        <w:t xml:space="preserve"> eclipses </w:t>
      </w:r>
      <w:r w:rsidDel="00000000" w:rsidR="00000000" w:rsidRPr="00000000">
        <w:rPr>
          <w:b w:val="1"/>
          <w:rtl w:val="0"/>
        </w:rPr>
        <w:t xml:space="preserve">what is working</w:t>
      </w:r>
      <w:r w:rsidDel="00000000" w:rsidR="00000000" w:rsidRPr="00000000">
        <w:rPr>
          <w:rtl w:val="0"/>
        </w:rPr>
        <w:t xml:space="preserve">, and therefore </w:t>
      </w:r>
      <w:r w:rsidDel="00000000" w:rsidR="00000000" w:rsidRPr="00000000">
        <w:rPr>
          <w:b w:val="1"/>
          <w:rtl w:val="0"/>
        </w:rPr>
        <w:t xml:space="preserve">what can be scaled</w:t>
      </w:r>
      <w:r w:rsidDel="00000000" w:rsidR="00000000" w:rsidRPr="00000000">
        <w:rPr>
          <w:rtl w:val="0"/>
        </w:rPr>
        <w:t xml:space="preserve">. Solutions demand engagement with messy, halfway‑functional subsystems—co‑ops that survive, informal credit webs, township enterprises that bloom despite the doctrine. A rhetoric of total negation erases these micro‑successes, depriving policymakers of live prototypes. In short, a grievance‑only lens builds moral urgency while starving the solution pipeline.</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Trotsky, the Ice‑Axe, and the Destiny Script Leon Trotsky tried to graft hard numbers onto class trajectory but never ditched the “inevitable communism” end‑state. For that—and other sins—he took an ice‑axe to the skull in 1940. Destiny thinking didn’t just blind analysis; it got its own architect killed. Yet give Trotsky partial credit: his Red Army logistics reforms and early economic writings show a grudging respect for data, supply curves, and the need for technically literate leadership. He bullied engineers, but he listened to them—an advance over Marx’s armchair projections. Still, anger ran the throttle. Personal vendettas and prophetic certainty overrode system feedback, locking him into the same teleological trap he half‑recognized. Leadership may need science, he said; but leadership, he practiced, defaulted to ideology.</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Verdict: Retire the Bogeyman Marxism survives today mostly as a meme kit: a handy label for enemies or a vibe for undergrad manifestos. Real conflict science moved on decades ago. The tools that work—agent‑based modeling, tension mapping, institutional feedback loops—draw from the lineage above.</w:t>
      </w:r>
    </w:p>
    <w:p w:rsidR="00000000" w:rsidDel="00000000" w:rsidP="00000000" w:rsidRDefault="00000000" w:rsidRPr="00000000" w14:paraId="00000014">
      <w:pPr>
        <w:spacing w:after="240" w:before="240" w:lineRule="auto"/>
        <w:rPr/>
      </w:pPr>
      <w:r w:rsidDel="00000000" w:rsidR="00000000" w:rsidRPr="00000000">
        <w:rPr>
          <w:rtl w:val="0"/>
        </w:rPr>
        <w:t xml:space="preserve">Addendum. Chomsky: The Hollow Heir If Marx supplied the myth, Noam Chomsky inherited the habit of outrage. Like Marx, he catalogs social injury with surgical prose but rarely builds falsifiable models. He points to surveillance, propaganda, and corporate capture—real concerns—then leaps to the conclusion that the system itself is irredeemable, exactly as Marx predicted. The empirical lift stops at illustration: cherry‑picked broadcast memos, anecdotal war coverage, and a cascade of “obvious” power imbalances. From a moral standpoint the critique stings; from a scientific standpoint it is arrested development.</w:t>
      </w:r>
    </w:p>
    <w:p w:rsidR="00000000" w:rsidDel="00000000" w:rsidP="00000000" w:rsidRDefault="00000000" w:rsidRPr="00000000" w14:paraId="00000015">
      <w:pPr>
        <w:spacing w:after="240" w:before="240" w:lineRule="auto"/>
        <w:rPr/>
      </w:pPr>
      <w:r w:rsidDel="00000000" w:rsidR="00000000" w:rsidRPr="00000000">
        <w:rPr>
          <w:rtl w:val="0"/>
        </w:rPr>
        <w:t xml:space="preserve">In that sense Chomsky </w:t>
      </w:r>
      <w:r w:rsidDel="00000000" w:rsidR="00000000" w:rsidRPr="00000000">
        <w:rPr>
          <w:b w:val="1"/>
          <w:rtl w:val="0"/>
        </w:rPr>
        <w:t xml:space="preserve">is</w:t>
      </w:r>
      <w:r w:rsidDel="00000000" w:rsidR="00000000" w:rsidRPr="00000000">
        <w:rPr>
          <w:rtl w:val="0"/>
        </w:rPr>
        <w:t xml:space="preserve"> the heir: not of Marx’s economics, but of his method—complaint over calibration. Both men weaponize data to indict, not to test. They treat examples as proof and assume that piling more cases equals explanation. The world does indeed have teeth, but showing bite marks is not the same as modeling jaw mechanics. Until Chomsky (or his disciples) specify variables, run controls, and risk being wrong, the work remains an eloquent tantrum: cathartic, not predictive. Worse, by obsessing over the rot, it screens out the sprouts—local journalism innovations, citizen‑science projects, micro‑transparency protocols that point toward repair. Without attending to those emergent fixes, critique hardens into nihilism.</w:t>
      </w:r>
    </w:p>
    <w:p w:rsidR="00000000" w:rsidDel="00000000" w:rsidP="00000000" w:rsidRDefault="00000000" w:rsidRPr="00000000" w14:paraId="00000016">
      <w:pPr>
        <w:spacing w:after="240" w:before="240" w:lineRule="auto"/>
        <w:rPr/>
      </w:pPr>
      <w:r w:rsidDel="00000000" w:rsidR="00000000" w:rsidRPr="00000000">
        <w:rPr>
          <w:rtl w:val="0"/>
        </w:rPr>
        <w:t xml:space="preserve">Postscript. Marx on Marxists Late in life Marx allegedly told Paul Lafargue, “If anything is certain, it is that I myself am not a Marxist.” Engels repeated the line. They saw the brand detaching from the work. We should, too.</w:t>
      </w:r>
    </w:p>
    <w:p w:rsidR="00000000" w:rsidDel="00000000" w:rsidP="00000000" w:rsidRDefault="00000000" w:rsidRPr="00000000" w14:paraId="00000017">
      <w:pPr>
        <w:spacing w:after="240" w:before="240" w:lineRule="auto"/>
        <w:rPr/>
      </w:pPr>
      <w:r w:rsidDel="00000000" w:rsidR="00000000" w:rsidRPr="00000000">
        <w:rPr>
          <w:rtl w:val="0"/>
        </w:rPr>
        <w:t xml:space="preserve">Bottom line: If your goal is to forecast unrest, allocate risk capital, or design institutions that bend without breaking, park the Marx reader on the nostalgia shelf. Grab Weber’s bureaucracy notes, Du Bois’s demographic tables, and a modern multivariate tension model. That’s where the leverage lives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