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Global Calorie Outlook 2025‑2035: Winners, Losers, and Breakpoints:  Fast Brief.</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Executive Snapshot</w:t>
      </w:r>
    </w:p>
    <w:p w:rsidR="00000000" w:rsidDel="00000000" w:rsidP="00000000" w:rsidRDefault="00000000" w:rsidRPr="00000000" w14:paraId="00000003">
      <w:pPr>
        <w:spacing w:after="240" w:before="240" w:lineRule="auto"/>
        <w:rPr/>
      </w:pPr>
      <w:r w:rsidDel="00000000" w:rsidR="00000000" w:rsidRPr="00000000">
        <w:rPr>
          <w:rtl w:val="0"/>
        </w:rPr>
        <w:t xml:space="preserve">Over the next decade the world isn’t running out of calories—it is running out of margin. A swelling population, volatile climate, and brittle trade routes will reshape where food is grown, who can afford it, and how much geopolitical leverage it confers. High‑latitude producers equipped with capital and technology will harvest surplus even as equatorial smallholders struggle under heat, water stress, and energy scarcity. The calorie map is about to redraft the political one.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Demand Curve</w:t>
      </w:r>
    </w:p>
    <w:p w:rsidR="00000000" w:rsidDel="00000000" w:rsidP="00000000" w:rsidRDefault="00000000" w:rsidRPr="00000000" w14:paraId="00000005">
      <w:pPr>
        <w:spacing w:after="240" w:before="240" w:lineRule="auto"/>
        <w:rPr/>
      </w:pPr>
      <w:r w:rsidDel="00000000" w:rsidR="00000000" w:rsidRPr="00000000">
        <w:rPr>
          <w:rtl w:val="0"/>
        </w:rPr>
        <w:t xml:space="preserve">Global population will climb from roughly 8.5 billion in 2025 to 9.1 billion by 2035. Holding today’s per‑capita diet constant would require a 25‑30 percent jump in calorie output—a lift complicated by climate shocks, input inflation, and policy whiplash.</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Climate‑Tilted Yield Math</w:t>
      </w:r>
    </w:p>
    <w:p w:rsidR="00000000" w:rsidDel="00000000" w:rsidP="00000000" w:rsidRDefault="00000000" w:rsidRPr="00000000" w14:paraId="00000007">
      <w:pPr>
        <w:spacing w:after="240" w:before="240" w:lineRule="auto"/>
        <w:rPr/>
      </w:pPr>
      <w:r w:rsidDel="00000000" w:rsidR="00000000" w:rsidRPr="00000000">
        <w:rPr>
          <w:rtl w:val="0"/>
        </w:rPr>
        <w:t xml:space="preserve">Northern zones—Canada, Russia, Scandinavia—gain growing days and may squeeze 5‑15 percent more cereal out of longer summers. CO₂ fertilisation gives C3 crops (wheat, rice) a photosynthetic bump in controlled environments, but that benefit collapses under heat spikes. In the tropics, maize, rice, and wheat yields will fall 10‑25 percent as heat and erratic rainfall shred pollination windows and drain aquifers like the Ganges and Nile. Recent soil trials indicate that microplastic build‑up can further impair root development, potentially shaving another one to two percent off regional cereal output by 2035.</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Fisheries and Aquaculture Split</w:t>
      </w:r>
    </w:p>
    <w:p w:rsidR="00000000" w:rsidDel="00000000" w:rsidP="00000000" w:rsidRDefault="00000000" w:rsidRPr="00000000" w14:paraId="00000009">
      <w:pPr>
        <w:spacing w:after="240" w:before="240" w:lineRule="auto"/>
        <w:rPr/>
      </w:pPr>
      <w:r w:rsidDel="00000000" w:rsidR="00000000" w:rsidRPr="00000000">
        <w:rPr>
          <w:rtl w:val="0"/>
        </w:rPr>
        <w:t xml:space="preserve">Warming seas and acidification will gut wild stocks in the tropics, stripping coastal diets of cheap protein. Asia and Latin America will scale aquaculture to backfill, but higher feed costs and climate volatility cap gains. Net: a 15 percent decline in wild catch, partly offset by a 10 percent aquaculture rise—protein neutral on paper, deficit on household plates.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Microplastics Contamination Shadow</w:t>
      </w:r>
    </w:p>
    <w:p w:rsidR="00000000" w:rsidDel="00000000" w:rsidP="00000000" w:rsidRDefault="00000000" w:rsidRPr="00000000" w14:paraId="0000000B">
      <w:pPr>
        <w:spacing w:after="240" w:before="240" w:lineRule="auto"/>
        <w:rPr/>
      </w:pPr>
      <w:r w:rsidDel="00000000" w:rsidR="00000000" w:rsidRPr="00000000">
        <w:rPr>
          <w:rtl w:val="0"/>
        </w:rPr>
        <w:t xml:space="preserve">Particles smaller than five millimetres now lace every link of the food chain. Run‑off from packaging waste, tyre dust, and synthetic fibres carries microplastics into rivers, estuaries, and ultimately farmland irrigation channels. In marine systems they bio‑accumulate up the trophic ladder, cutting growth rates in farmed shrimp and infiltrating the guts of pelagic fish that supply low‑income protein. On land, field studies show polypropylene and polyethylene fragments reduce earthworm activity and stunt root mass, trimming cereal yields by one to two percent in heavily dosed plots—a margin that matters when global supply is tight. Regulatory backlash is a looming wildcard: an EU‑level ban on pre‑consumer microplastic release would raise fertiliser and pesticide costs, while stricter seafood residue limits could shutter export lanes overnight. Calorie arithmetic rarely counts contaminants, but microplastics add another subtle drag on both volume and marketability.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Livestock &amp; Feed Loop</w:t>
      </w:r>
    </w:p>
    <w:p w:rsidR="00000000" w:rsidDel="00000000" w:rsidP="00000000" w:rsidRDefault="00000000" w:rsidRPr="00000000" w14:paraId="0000000D">
      <w:pPr>
        <w:spacing w:after="240" w:before="240" w:lineRule="auto"/>
        <w:rPr/>
      </w:pPr>
      <w:r w:rsidDel="00000000" w:rsidR="00000000" w:rsidRPr="00000000">
        <w:rPr>
          <w:rtl w:val="0"/>
        </w:rPr>
        <w:t xml:space="preserve">Heat stress knocks milk yields and slows meat growth across the Global South. Grain shortfalls push feed prices up, throttling meat production exactly where diets are upgrading to animal protein. Expect a protein‑price super‑cycle that fuels urban unrest in import‑dependent nations.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Energy and Trade Friction</w:t>
      </w:r>
    </w:p>
    <w:p w:rsidR="00000000" w:rsidDel="00000000" w:rsidP="00000000" w:rsidRDefault="00000000" w:rsidRPr="00000000" w14:paraId="0000000F">
      <w:pPr>
        <w:spacing w:after="240" w:before="240" w:lineRule="auto"/>
        <w:rPr/>
      </w:pPr>
      <w:r w:rsidDel="00000000" w:rsidR="00000000" w:rsidRPr="00000000">
        <w:rPr>
          <w:rtl w:val="0"/>
        </w:rPr>
        <w:t xml:space="preserve">Calorie flows run on diesel, fertiliser, and political goodwill. Input prices tied to energy markets remain volatile; food‑exporting states will flirt with export bans after each bad harvest. Importers in Africa, South Asia, and parts of the Middle East face compounded shocks—currency slides plus cereal price spikes of 30‑50 percent by 2030.</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Regional Scorecard</w:t>
      </w:r>
    </w:p>
    <w:p w:rsidR="00000000" w:rsidDel="00000000" w:rsidP="00000000" w:rsidRDefault="00000000" w:rsidRPr="00000000" w14:paraId="00000011">
      <w:pPr>
        <w:spacing w:after="240" w:before="240" w:lineRule="auto"/>
        <w:rPr/>
      </w:pPr>
      <w:r w:rsidDel="00000000" w:rsidR="00000000" w:rsidRPr="00000000">
        <w:rPr>
          <w:i w:val="1"/>
          <w:rtl w:val="0"/>
        </w:rPr>
        <w:t xml:space="preserve">Winners</w:t>
      </w:r>
      <w:r w:rsidDel="00000000" w:rsidR="00000000" w:rsidRPr="00000000">
        <w:rPr>
          <w:rtl w:val="0"/>
        </w:rPr>
        <w:t xml:space="preserve">: Canada, Northern Europe, Russia, and Brazil—nations with land, water, and capital to mechanise, edit genes, and electrify tractors.</w:t>
      </w:r>
    </w:p>
    <w:p w:rsidR="00000000" w:rsidDel="00000000" w:rsidP="00000000" w:rsidRDefault="00000000" w:rsidRPr="00000000" w14:paraId="00000012">
      <w:pPr>
        <w:spacing w:after="240" w:before="240" w:lineRule="auto"/>
        <w:rPr/>
      </w:pPr>
      <w:r w:rsidDel="00000000" w:rsidR="00000000" w:rsidRPr="00000000">
        <w:rPr>
          <w:i w:val="1"/>
          <w:rtl w:val="0"/>
        </w:rPr>
        <w:t xml:space="preserve">Losers</w:t>
      </w:r>
      <w:r w:rsidDel="00000000" w:rsidR="00000000" w:rsidRPr="00000000">
        <w:rPr>
          <w:rtl w:val="0"/>
        </w:rPr>
        <w:t xml:space="preserve">: Equatorial Africa, South Asia, Central America—high population density, heat stress, water scarcity, and currency risk converge.</w:t>
      </w:r>
    </w:p>
    <w:p w:rsidR="00000000" w:rsidDel="00000000" w:rsidP="00000000" w:rsidRDefault="00000000" w:rsidRPr="00000000" w14:paraId="00000013">
      <w:pPr>
        <w:spacing w:after="240" w:before="240" w:lineRule="auto"/>
        <w:rPr/>
      </w:pPr>
      <w:r w:rsidDel="00000000" w:rsidR="00000000" w:rsidRPr="00000000">
        <w:rPr>
          <w:i w:val="1"/>
          <w:rtl w:val="0"/>
        </w:rPr>
        <w:t xml:space="preserve">Swing States</w:t>
      </w:r>
      <w:r w:rsidDel="00000000" w:rsidR="00000000" w:rsidRPr="00000000">
        <w:rPr>
          <w:rtl w:val="0"/>
        </w:rPr>
        <w:t xml:space="preserve">: China and the EU; success hinges on energy transition pace and trade diplomacy. Renewable power cushions fertiliser costs and keeps cold‑chain exports moving.</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Three Futures</w:t>
      </w:r>
    </w:p>
    <w:p w:rsidR="00000000" w:rsidDel="00000000" w:rsidP="00000000" w:rsidRDefault="00000000" w:rsidRPr="00000000" w14:paraId="00000015">
      <w:pPr>
        <w:spacing w:after="240" w:before="240" w:lineRule="auto"/>
        <w:rPr/>
      </w:pPr>
      <w:r w:rsidDel="00000000" w:rsidR="00000000" w:rsidRPr="00000000">
        <w:rPr>
          <w:b w:val="1"/>
          <w:rtl w:val="0"/>
        </w:rPr>
        <w:t xml:space="preserve">Best‑Case</w:t>
      </w:r>
      <w:r w:rsidDel="00000000" w:rsidR="00000000" w:rsidRPr="00000000">
        <w:rPr>
          <w:rtl w:val="0"/>
        </w:rPr>
        <w:t xml:space="preserve">—Coordinated climate adaptation, open trade, precision ag, and 1.5–2 °C warming. Global calorie supply edges up 5 percent; hunger hotspots shrink but don’t vanish.</w:t>
      </w:r>
    </w:p>
    <w:p w:rsidR="00000000" w:rsidDel="00000000" w:rsidP="00000000" w:rsidRDefault="00000000" w:rsidRPr="00000000" w14:paraId="00000016">
      <w:pPr>
        <w:spacing w:after="240" w:before="240" w:lineRule="auto"/>
        <w:rPr/>
      </w:pPr>
      <w:r w:rsidDel="00000000" w:rsidR="00000000" w:rsidRPr="00000000">
        <w:rPr>
          <w:b w:val="1"/>
          <w:rtl w:val="0"/>
        </w:rPr>
        <w:t xml:space="preserve">Middle Path</w:t>
      </w:r>
      <w:r w:rsidDel="00000000" w:rsidR="00000000" w:rsidRPr="00000000">
        <w:rPr>
          <w:rtl w:val="0"/>
        </w:rPr>
        <w:t xml:space="preserve">—Patchy policy, 2–3 °C warming, uneven tech adoption. Net global calories fall 5–10 percent; food prices jump, sparking regional conflicts and migration waves.</w:t>
      </w:r>
    </w:p>
    <w:p w:rsidR="00000000" w:rsidDel="00000000" w:rsidP="00000000" w:rsidRDefault="00000000" w:rsidRPr="00000000" w14:paraId="00000017">
      <w:pPr>
        <w:spacing w:after="240" w:before="240" w:lineRule="auto"/>
        <w:rPr/>
      </w:pPr>
      <w:r w:rsidDel="00000000" w:rsidR="00000000" w:rsidRPr="00000000">
        <w:rPr>
          <w:b w:val="1"/>
          <w:rtl w:val="0"/>
        </w:rPr>
        <w:t xml:space="preserve">Worst‑Case</w:t>
      </w:r>
      <w:r w:rsidDel="00000000" w:rsidR="00000000" w:rsidRPr="00000000">
        <w:rPr>
          <w:rtl w:val="0"/>
        </w:rPr>
        <w:t xml:space="preserve">—Policy failure, &gt;3 °C, trade wars, labour crunch. Calories crash 15–20 percent; famines, resource skirmishes, and authoritarian clampdowns spread.</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Strategic Implications</w:t>
      </w:r>
    </w:p>
    <w:p w:rsidR="00000000" w:rsidDel="00000000" w:rsidP="00000000" w:rsidRDefault="00000000" w:rsidRPr="00000000" w14:paraId="00000019">
      <w:pPr>
        <w:spacing w:after="240" w:before="240" w:lineRule="auto"/>
        <w:rPr/>
      </w:pPr>
      <w:r w:rsidDel="00000000" w:rsidR="00000000" w:rsidRPr="00000000">
        <w:rPr>
          <w:rtl w:val="0"/>
        </w:rPr>
        <w:t xml:space="preserve">Food‑secure states will wield export capacity as leverage, reshaping alliances. Import‑reliant regimes may pivot to authoritarian control to contain unrest. Biofuel expansion will intensify land competition, pitting tanks against stomachs. Calorie diplomacy—grain‑for‑minerals, fish‑for‑energy—will define the next decade’s bargain‑basement geopolitics.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Action Matrix</w:t>
      </w:r>
    </w:p>
    <w:p w:rsidR="00000000" w:rsidDel="00000000" w:rsidP="00000000" w:rsidRDefault="00000000" w:rsidRPr="00000000" w14:paraId="0000001B">
      <w:pPr>
        <w:spacing w:after="240" w:before="240" w:lineRule="auto"/>
        <w:rPr/>
      </w:pPr>
      <w:r w:rsidDel="00000000" w:rsidR="00000000" w:rsidRPr="00000000">
        <w:rPr>
          <w:i w:val="1"/>
          <w:rtl w:val="0"/>
        </w:rPr>
        <w:t xml:space="preserve">Buffer</w:t>
      </w:r>
      <w:r w:rsidDel="00000000" w:rsidR="00000000" w:rsidRPr="00000000">
        <w:rPr>
          <w:rtl w:val="0"/>
        </w:rPr>
        <w:t xml:space="preserve">: Diversify import sources, build regional grain reserves, and invest in cold‑chain logistics to dampen price spikes.</w:t>
      </w:r>
    </w:p>
    <w:p w:rsidR="00000000" w:rsidDel="00000000" w:rsidP="00000000" w:rsidRDefault="00000000" w:rsidRPr="00000000" w14:paraId="0000001C">
      <w:pPr>
        <w:spacing w:after="240" w:before="240" w:lineRule="auto"/>
        <w:rPr/>
      </w:pPr>
      <w:r w:rsidDel="00000000" w:rsidR="00000000" w:rsidRPr="00000000">
        <w:rPr>
          <w:i w:val="1"/>
          <w:rtl w:val="0"/>
        </w:rPr>
        <w:t xml:space="preserve">Adapt</w:t>
      </w:r>
      <w:r w:rsidDel="00000000" w:rsidR="00000000" w:rsidRPr="00000000">
        <w:rPr>
          <w:rtl w:val="0"/>
        </w:rPr>
        <w:t xml:space="preserve">: Accelerate gene‑edited drought‑tolerant crops, scale precision irrigation, subsidise controlled‑environment agriculture in urban peripheries, and deploy plastic‑waste capture plus soil‑remediation technologies to stem microplastic yield drag.</w:t>
      </w:r>
    </w:p>
    <w:p w:rsidR="00000000" w:rsidDel="00000000" w:rsidP="00000000" w:rsidRDefault="00000000" w:rsidRPr="00000000" w14:paraId="0000001D">
      <w:pPr>
        <w:spacing w:after="240" w:before="240" w:lineRule="auto"/>
        <w:rPr/>
      </w:pPr>
      <w:r w:rsidDel="00000000" w:rsidR="00000000" w:rsidRPr="00000000">
        <w:rPr>
          <w:i w:val="1"/>
          <w:rtl w:val="0"/>
        </w:rPr>
        <w:t xml:space="preserve">Insulate</w:t>
      </w:r>
      <w:r w:rsidDel="00000000" w:rsidR="00000000" w:rsidRPr="00000000">
        <w:rPr>
          <w:rtl w:val="0"/>
        </w:rPr>
        <w:t xml:space="preserve">: Tie fertiliser production to renewable energy to decouple from fossil volatility, and negotiate long‑term food corridors before crises hit.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Bottom Line</w:t>
      </w:r>
    </w:p>
    <w:p w:rsidR="00000000" w:rsidDel="00000000" w:rsidP="00000000" w:rsidRDefault="00000000" w:rsidRPr="00000000" w14:paraId="0000001F">
      <w:pPr>
        <w:spacing w:after="240" w:before="240" w:lineRule="auto"/>
        <w:rPr/>
      </w:pPr>
      <w:r w:rsidDel="00000000" w:rsidR="00000000" w:rsidRPr="00000000">
        <w:rPr>
          <w:rtl w:val="0"/>
        </w:rPr>
        <w:t xml:space="preserve">Calorie scarcity will not be universal, but its distribution will be politically explosive. Nations that treat food security as infrastructure—on par with energy and data—will ride out the storm. Those that don’t will discover that hunger accelerates every other crisis in the queue.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