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10AF" w14:textId="77777777" w:rsidR="00635836" w:rsidRPr="00F82732" w:rsidRDefault="00635836" w:rsidP="00635836">
      <w:pPr>
        <w:rPr>
          <w:rFonts w:ascii="Times New Roman" w:hAnsi="Times New Roman" w:cs="Times New Roman"/>
          <w:b/>
          <w:bCs/>
        </w:rPr>
      </w:pPr>
      <w:r w:rsidRPr="00F82732">
        <w:rPr>
          <w:rFonts w:ascii="Times New Roman" w:hAnsi="Times New Roman" w:cs="Times New Roman"/>
          <w:b/>
          <w:bCs/>
        </w:rPr>
        <w:t>Hugo Ramirez Jr.</w:t>
      </w:r>
    </w:p>
    <w:p w14:paraId="686DFE63" w14:textId="77777777" w:rsidR="00635836" w:rsidRPr="00F82732" w:rsidRDefault="00635836" w:rsidP="00635836">
      <w:pPr>
        <w:rPr>
          <w:rFonts w:ascii="Times New Roman" w:hAnsi="Times New Roman" w:cs="Times New Roman"/>
          <w:b/>
          <w:bCs/>
        </w:rPr>
      </w:pPr>
      <w:r w:rsidRPr="00F82732">
        <w:rPr>
          <w:rFonts w:ascii="Times New Roman" w:hAnsi="Times New Roman" w:cs="Times New Roman"/>
          <w:b/>
          <w:bCs/>
        </w:rPr>
        <w:t>Dr. Tori Farley</w:t>
      </w:r>
    </w:p>
    <w:p w14:paraId="5EC4FC9F" w14:textId="0361B331" w:rsidR="00635836" w:rsidRPr="00F82732" w:rsidRDefault="00635836" w:rsidP="00635836">
      <w:pPr>
        <w:rPr>
          <w:rFonts w:ascii="Times New Roman" w:hAnsi="Times New Roman" w:cs="Times New Roman"/>
          <w:b/>
          <w:bCs/>
        </w:rPr>
      </w:pPr>
      <w:r w:rsidRPr="00F82732">
        <w:rPr>
          <w:rFonts w:ascii="Times New Roman" w:hAnsi="Times New Roman" w:cs="Times New Roman"/>
          <w:b/>
          <w:bCs/>
        </w:rPr>
        <w:t xml:space="preserve">Module </w:t>
      </w:r>
      <w:r>
        <w:rPr>
          <w:rFonts w:ascii="Times New Roman" w:hAnsi="Times New Roman" w:cs="Times New Roman"/>
          <w:b/>
          <w:bCs/>
        </w:rPr>
        <w:t>12.2</w:t>
      </w:r>
      <w:r w:rsidRPr="00F82732">
        <w:rPr>
          <w:rFonts w:ascii="Times New Roman" w:hAnsi="Times New Roman" w:cs="Times New Roman"/>
          <w:b/>
          <w:bCs/>
        </w:rPr>
        <w:t xml:space="preserve"> Assignment:</w:t>
      </w:r>
      <w:r w:rsidRPr="00635836">
        <w:rPr>
          <w:rFonts w:ascii="Open Sans" w:hAnsi="Open Sans" w:cs="Open Sans"/>
          <w:b/>
          <w:bCs/>
          <w:color w:val="000000"/>
          <w:sz w:val="21"/>
          <w:szCs w:val="21"/>
          <w:bdr w:val="none" w:sz="0" w:space="0" w:color="auto" w:frame="1"/>
          <w:shd w:val="clear" w:color="auto" w:fill="F8F8F8"/>
        </w:rPr>
        <w:t xml:space="preserve"> </w:t>
      </w:r>
      <w:r w:rsidRPr="00635836">
        <w:rPr>
          <w:rFonts w:ascii="Times New Roman" w:hAnsi="Times New Roman" w:cs="Times New Roman"/>
          <w:b/>
          <w:bCs/>
        </w:rPr>
        <w:t>Compliance</w:t>
      </w:r>
    </w:p>
    <w:p w14:paraId="461C45BD" w14:textId="651BCFB3" w:rsidR="00635836" w:rsidRDefault="00635836" w:rsidP="00635836">
      <w:pPr>
        <w:rPr>
          <w:rFonts w:ascii="Times New Roman" w:hAnsi="Times New Roman" w:cs="Times New Roman"/>
          <w:b/>
          <w:bCs/>
        </w:rPr>
      </w:pPr>
      <w:r>
        <w:rPr>
          <w:rFonts w:ascii="Times New Roman" w:hAnsi="Times New Roman" w:cs="Times New Roman"/>
          <w:b/>
          <w:bCs/>
        </w:rPr>
        <w:t>3</w:t>
      </w:r>
      <w:r w:rsidRPr="00F82732">
        <w:rPr>
          <w:rFonts w:ascii="Times New Roman" w:hAnsi="Times New Roman" w:cs="Times New Roman"/>
          <w:b/>
          <w:bCs/>
        </w:rPr>
        <w:t>/</w:t>
      </w:r>
      <w:r>
        <w:rPr>
          <w:rFonts w:ascii="Times New Roman" w:hAnsi="Times New Roman" w:cs="Times New Roman"/>
          <w:b/>
          <w:bCs/>
        </w:rPr>
        <w:t>6</w:t>
      </w:r>
      <w:r w:rsidRPr="00F82732">
        <w:rPr>
          <w:rFonts w:ascii="Times New Roman" w:hAnsi="Times New Roman" w:cs="Times New Roman"/>
          <w:b/>
          <w:bCs/>
        </w:rPr>
        <w:t>/2026</w:t>
      </w:r>
    </w:p>
    <w:p w14:paraId="44D51D62" w14:textId="77777777" w:rsidR="00C52BC9" w:rsidRDefault="00C52BC9" w:rsidP="00257A4A">
      <w:pPr>
        <w:rPr>
          <w:rFonts w:ascii="Times New Roman" w:hAnsi="Times New Roman" w:cs="Times New Roman"/>
          <w:b/>
          <w:bCs/>
        </w:rPr>
      </w:pPr>
    </w:p>
    <w:p w14:paraId="0A7E97B1" w14:textId="479F498A" w:rsidR="00257A4A" w:rsidRPr="00635836" w:rsidRDefault="00257A4A" w:rsidP="00257A4A">
      <w:pPr>
        <w:rPr>
          <w:rFonts w:ascii="Times New Roman" w:hAnsi="Times New Roman" w:cs="Times New Roman"/>
        </w:rPr>
      </w:pPr>
      <w:r w:rsidRPr="00635836">
        <w:rPr>
          <w:rFonts w:ascii="Times New Roman" w:hAnsi="Times New Roman" w:cs="Times New Roman"/>
        </w:rPr>
        <w:t>The case studies “Proving Compliance in Regulated Environments” and “Relying on Production Telemetry for ATM Systems” from The DevOps Handbook both focus on how organizations can maintain security and compliance while using modern DevOps practices. A common theme in both examples is that traditional compliance approaches do not always work well in modern systems. Instead, organizations need better visibility, automation, and monitoring to manage risk effectively.</w:t>
      </w:r>
    </w:p>
    <w:p w14:paraId="358E1B85"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The first case study, “Proving Compliance in Regulated Environments,” explains the challenges organizations face when auditors evaluate DevOps environments. Bill Shinn, a principal security solutions architect at Amazon Web Services, works with many large enterprise companies that operate in highly regulated industries. One of the problems he describes is that auditors are often trained to use older auditing methods that were designed for traditional infrastructure. For example, auditors may request screenshots or configuration files from a large sample of servers to verify that security controls are in place. This approach worked well in physical data center environments where systems were relatively stable.</w:t>
      </w:r>
    </w:p>
    <w:p w14:paraId="27C29C54"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However, modern DevOps environments are very different. Infrastructure is often managed as code, and cloud systems frequently scale automatically, meaning servers can appear and disappear constantly. Because of this, traditional sampling methods no longer make sense. Instead of collecting screenshots or static reports, organizations need a more dynamic way to demonstrate that their systems are secure and compliant.</w:t>
      </w:r>
    </w:p>
    <w:p w14:paraId="6FF40247"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To address this issue, Shinn recommends integrating auditors directly into the control design process. Teams can work with auditors during development sprints to define what evidence will be needed to prove that controls are working correctly. Much of this evidence can be collected automatically through telemetry systems such as logging and monitoring platforms. By sending operational data into centralized systems, auditors can search and review information themselves instead of requesting manual reports. This creates greater transparency and allows auditors to verify compliance more efficiently.</w:t>
      </w:r>
    </w:p>
    <w:p w14:paraId="7F084DBB"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Another important point in this case study is the need to translate regulatory requirements into technical controls. Regulations such as HIPAA describe what organizations must accomplish but usually do not specify exactly how to implement those controls. DevOps teams must work with compliance and security teams to determine how those requirements can be enforced through configuration settings, monitoring systems, or automated testing. When implemented correctly, automated pipelines and logging systems can provide clear evidence that controls exist and are functioning properly.</w:t>
      </w:r>
    </w:p>
    <w:p w14:paraId="7C9B0D85"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The second case study, “Relying on Production Telemetry for ATM Systems,” focuses on a real-world example involving fraud within a banking system. In this situation, a developer inserted a backdoor into the software that controlled ATM machines. This backdoor allowed the developer to place certain ATMs into maintenance mode at specific times and remove cash from the machines. Even though the organization had separation of duties and a change approval process, the malicious code was still deployed.</w:t>
      </w:r>
    </w:p>
    <w:p w14:paraId="63629AA1"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lastRenderedPageBreak/>
        <w:t xml:space="preserve">Interestingly, </w:t>
      </w:r>
      <w:proofErr w:type="gramStart"/>
      <w:r w:rsidRPr="00635836">
        <w:rPr>
          <w:rFonts w:ascii="Times New Roman" w:hAnsi="Times New Roman" w:cs="Times New Roman"/>
        </w:rPr>
        <w:t>the fraud</w:t>
      </w:r>
      <w:proofErr w:type="gramEnd"/>
      <w:r w:rsidRPr="00635836">
        <w:rPr>
          <w:rFonts w:ascii="Times New Roman" w:hAnsi="Times New Roman" w:cs="Times New Roman"/>
        </w:rPr>
        <w:t xml:space="preserve"> was not discovered through a code review or approval process. Instead, it was detected during a routine operations review when someone noticed that several ATMs were entering maintenance mode at unusual times. Production monitoring data revealed the suspicious activity before the scheduled cash audits occurred. This allowed the organization to quickly detect and correct the problem.</w:t>
      </w:r>
    </w:p>
    <w:p w14:paraId="58D3014E" w14:textId="77777777" w:rsidR="00257A4A" w:rsidRPr="00635836" w:rsidRDefault="00257A4A" w:rsidP="00257A4A">
      <w:pPr>
        <w:rPr>
          <w:rFonts w:ascii="Times New Roman" w:hAnsi="Times New Roman" w:cs="Times New Roman"/>
        </w:rPr>
      </w:pPr>
      <w:r w:rsidRPr="00635836">
        <w:rPr>
          <w:rFonts w:ascii="Times New Roman" w:hAnsi="Times New Roman" w:cs="Times New Roman"/>
        </w:rPr>
        <w:t>The key lesson from this example is that code reviews and approval processes alone cannot always prevent fraud or mistakes. If someone has enough knowledge and motivation, they may still find ways to bypass these controls. Production telemetry provides another layer of protection because it focuses on how systems behave in real time. Monitoring tools can identify unusual patterns and alert teams to problems much faster than traditional auditing processes.</w:t>
      </w:r>
    </w:p>
    <w:p w14:paraId="31E5FFFA" w14:textId="07CE3DFC" w:rsidR="00257A4A" w:rsidRPr="00635836" w:rsidRDefault="00257A4A" w:rsidP="00257A4A">
      <w:pPr>
        <w:rPr>
          <w:rFonts w:ascii="Times New Roman" w:hAnsi="Times New Roman" w:cs="Times New Roman"/>
        </w:rPr>
      </w:pPr>
      <w:r w:rsidRPr="00635836">
        <w:rPr>
          <w:rFonts w:ascii="Times New Roman" w:hAnsi="Times New Roman" w:cs="Times New Roman"/>
        </w:rPr>
        <w:t>Both case studies show that modern DevOps environments require a different approach to compliance and security. Instead of relying heavily on manual reviews and documentation, organizations should focus on automation, monitoring, and transparency. When systems automatically record logs, track changes, and monitor activity in production, it becomes much easier to detect problems and prove that controls are working. These practices not only improve compliance but also help organizations respond to risks more quickly and effectively.</w:t>
      </w:r>
    </w:p>
    <w:p w14:paraId="0F4DF30E" w14:textId="77777777" w:rsidR="0098024F" w:rsidRPr="00635836" w:rsidRDefault="0098024F" w:rsidP="00257A4A">
      <w:pPr>
        <w:rPr>
          <w:rFonts w:ascii="Times New Roman" w:hAnsi="Times New Roman" w:cs="Times New Roman"/>
        </w:rPr>
      </w:pPr>
    </w:p>
    <w:sectPr w:rsidR="0098024F" w:rsidRPr="006358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C279A" w14:textId="77777777" w:rsidR="00537C02" w:rsidRDefault="00537C02" w:rsidP="00C52BC9">
      <w:pPr>
        <w:spacing w:after="0" w:line="240" w:lineRule="auto"/>
      </w:pPr>
      <w:r>
        <w:separator/>
      </w:r>
    </w:p>
  </w:endnote>
  <w:endnote w:type="continuationSeparator" w:id="0">
    <w:p w14:paraId="152EFA8B" w14:textId="77777777" w:rsidR="00537C02" w:rsidRDefault="00537C02" w:rsidP="00C52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74E3F" w14:textId="77777777" w:rsidR="00537C02" w:rsidRDefault="00537C02" w:rsidP="00C52BC9">
      <w:pPr>
        <w:spacing w:after="0" w:line="240" w:lineRule="auto"/>
      </w:pPr>
      <w:r>
        <w:separator/>
      </w:r>
    </w:p>
  </w:footnote>
  <w:footnote w:type="continuationSeparator" w:id="0">
    <w:p w14:paraId="216BFEC4" w14:textId="77777777" w:rsidR="00537C02" w:rsidRDefault="00537C02" w:rsidP="00C52B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4F"/>
    <w:rsid w:val="00213A27"/>
    <w:rsid w:val="00257A4A"/>
    <w:rsid w:val="00537C02"/>
    <w:rsid w:val="00635836"/>
    <w:rsid w:val="007100EF"/>
    <w:rsid w:val="0098024F"/>
    <w:rsid w:val="00A1578E"/>
    <w:rsid w:val="00C52BC9"/>
    <w:rsid w:val="00E6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E767"/>
  <w15:chartTrackingRefBased/>
  <w15:docId w15:val="{C87E1926-51B8-42ED-9C9A-19606B60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BC9"/>
  </w:style>
  <w:style w:type="paragraph" w:styleId="Heading1">
    <w:name w:val="heading 1"/>
    <w:basedOn w:val="Normal"/>
    <w:next w:val="Normal"/>
    <w:link w:val="Heading1Char"/>
    <w:uiPriority w:val="9"/>
    <w:qFormat/>
    <w:rsid w:val="00C52BC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52BC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C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C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52BC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52BC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52BC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52BC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52BC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C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52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C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C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52BC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52BC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52BC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52BC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52BC9"/>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52BC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52BC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52BC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52BC9"/>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52BC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52BC9"/>
    <w:rPr>
      <w:color w:val="0E2841" w:themeColor="text2"/>
      <w:sz w:val="24"/>
      <w:szCs w:val="24"/>
    </w:rPr>
  </w:style>
  <w:style w:type="paragraph" w:styleId="ListParagraph">
    <w:name w:val="List Paragraph"/>
    <w:basedOn w:val="Normal"/>
    <w:uiPriority w:val="34"/>
    <w:qFormat/>
    <w:rsid w:val="0098024F"/>
    <w:pPr>
      <w:ind w:left="720"/>
      <w:contextualSpacing/>
    </w:pPr>
  </w:style>
  <w:style w:type="character" w:styleId="IntenseEmphasis">
    <w:name w:val="Intense Emphasis"/>
    <w:basedOn w:val="DefaultParagraphFont"/>
    <w:uiPriority w:val="21"/>
    <w:qFormat/>
    <w:rsid w:val="00C52BC9"/>
    <w:rPr>
      <w:b/>
      <w:bCs/>
      <w:i/>
      <w:iCs/>
    </w:rPr>
  </w:style>
  <w:style w:type="paragraph" w:styleId="IntenseQuote">
    <w:name w:val="Intense Quote"/>
    <w:basedOn w:val="Normal"/>
    <w:next w:val="Normal"/>
    <w:link w:val="IntenseQuoteChar"/>
    <w:uiPriority w:val="30"/>
    <w:qFormat/>
    <w:rsid w:val="00C52BC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52BC9"/>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52BC9"/>
    <w:rPr>
      <w:b/>
      <w:bCs/>
      <w:smallCaps/>
      <w:color w:val="0E2841" w:themeColor="text2"/>
      <w:u w:val="single"/>
    </w:rPr>
  </w:style>
  <w:style w:type="paragraph" w:styleId="Header">
    <w:name w:val="header"/>
    <w:basedOn w:val="Normal"/>
    <w:link w:val="HeaderChar"/>
    <w:uiPriority w:val="99"/>
    <w:unhideWhenUsed/>
    <w:rsid w:val="00C52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BC9"/>
  </w:style>
  <w:style w:type="paragraph" w:styleId="Footer">
    <w:name w:val="footer"/>
    <w:basedOn w:val="Normal"/>
    <w:link w:val="FooterChar"/>
    <w:uiPriority w:val="99"/>
    <w:unhideWhenUsed/>
    <w:rsid w:val="00C52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C9"/>
  </w:style>
  <w:style w:type="paragraph" w:styleId="Caption">
    <w:name w:val="caption"/>
    <w:basedOn w:val="Normal"/>
    <w:next w:val="Normal"/>
    <w:uiPriority w:val="35"/>
    <w:semiHidden/>
    <w:unhideWhenUsed/>
    <w:qFormat/>
    <w:rsid w:val="00C52BC9"/>
    <w:pPr>
      <w:spacing w:line="240" w:lineRule="auto"/>
    </w:pPr>
    <w:rPr>
      <w:b/>
      <w:bCs/>
      <w:smallCaps/>
      <w:color w:val="0E2841" w:themeColor="text2"/>
    </w:rPr>
  </w:style>
  <w:style w:type="character" w:styleId="Strong">
    <w:name w:val="Strong"/>
    <w:basedOn w:val="DefaultParagraphFont"/>
    <w:uiPriority w:val="22"/>
    <w:qFormat/>
    <w:rsid w:val="00C52BC9"/>
    <w:rPr>
      <w:b/>
      <w:bCs/>
    </w:rPr>
  </w:style>
  <w:style w:type="character" w:styleId="Emphasis">
    <w:name w:val="Emphasis"/>
    <w:basedOn w:val="DefaultParagraphFont"/>
    <w:uiPriority w:val="20"/>
    <w:qFormat/>
    <w:rsid w:val="00C52BC9"/>
    <w:rPr>
      <w:i/>
      <w:iCs/>
    </w:rPr>
  </w:style>
  <w:style w:type="paragraph" w:styleId="NoSpacing">
    <w:name w:val="No Spacing"/>
    <w:uiPriority w:val="1"/>
    <w:qFormat/>
    <w:rsid w:val="00C52BC9"/>
    <w:pPr>
      <w:spacing w:after="0" w:line="240" w:lineRule="auto"/>
    </w:pPr>
  </w:style>
  <w:style w:type="character" w:styleId="SubtleEmphasis">
    <w:name w:val="Subtle Emphasis"/>
    <w:basedOn w:val="DefaultParagraphFont"/>
    <w:uiPriority w:val="19"/>
    <w:qFormat/>
    <w:rsid w:val="00C52BC9"/>
    <w:rPr>
      <w:i/>
      <w:iCs/>
      <w:color w:val="595959" w:themeColor="text1" w:themeTint="A6"/>
    </w:rPr>
  </w:style>
  <w:style w:type="character" w:styleId="SubtleReference">
    <w:name w:val="Subtle Reference"/>
    <w:basedOn w:val="DefaultParagraphFont"/>
    <w:uiPriority w:val="31"/>
    <w:qFormat/>
    <w:rsid w:val="00C52BC9"/>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52BC9"/>
    <w:rPr>
      <w:b/>
      <w:bCs/>
      <w:smallCaps/>
      <w:spacing w:val="10"/>
    </w:rPr>
  </w:style>
  <w:style w:type="paragraph" w:styleId="TOCHeading">
    <w:name w:val="TOC Heading"/>
    <w:basedOn w:val="Heading1"/>
    <w:next w:val="Normal"/>
    <w:uiPriority w:val="39"/>
    <w:semiHidden/>
    <w:unhideWhenUsed/>
    <w:qFormat/>
    <w:rsid w:val="00C52BC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2</Pages>
  <Words>676</Words>
  <Characters>4108</Characters>
  <Application>Microsoft Office Word</Application>
  <DocSecurity>0</DocSecurity>
  <Lines>74</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Ramirez</dc:creator>
  <cp:keywords/>
  <dc:description/>
  <cp:lastModifiedBy>Hugo Ramirez</cp:lastModifiedBy>
  <cp:revision>5</cp:revision>
  <dcterms:created xsi:type="dcterms:W3CDTF">2026-03-05T17:41:00Z</dcterms:created>
  <dcterms:modified xsi:type="dcterms:W3CDTF">2026-03-06T21:08:00Z</dcterms:modified>
</cp:coreProperties>
</file>