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453D8" w14:textId="64B4C2DF" w:rsidR="0013048A" w:rsidRDefault="00652302" w:rsidP="005F4AAD">
      <w:pPr>
        <w:jc w:val="center"/>
        <w:rPr>
          <w:b/>
          <w:sz w:val="28"/>
        </w:rPr>
      </w:pPr>
      <w:r w:rsidRPr="00D33682">
        <w:rPr>
          <w:b/>
          <w:sz w:val="28"/>
        </w:rPr>
        <w:t xml:space="preserve">Understanding ICO’s and </w:t>
      </w:r>
      <w:r w:rsidR="001B3A4F" w:rsidRPr="00D33682">
        <w:rPr>
          <w:b/>
          <w:sz w:val="28"/>
        </w:rPr>
        <w:t>the types of Tokens</w:t>
      </w:r>
    </w:p>
    <w:p w14:paraId="226DA74F" w14:textId="2B1DBD6F" w:rsidR="00AC0205" w:rsidRPr="00D33682" w:rsidRDefault="00AC0205" w:rsidP="005F4AAD">
      <w:pPr>
        <w:jc w:val="center"/>
        <w:rPr>
          <w:b/>
          <w:sz w:val="28"/>
        </w:rPr>
      </w:pPr>
      <w:r>
        <w:rPr>
          <w:b/>
          <w:noProof/>
          <w:sz w:val="28"/>
          <w:lang w:eastAsia="en-GB"/>
        </w:rPr>
        <w:drawing>
          <wp:inline distT="0" distB="0" distL="0" distR="0" wp14:anchorId="2EF92790" wp14:editId="360A77CC">
            <wp:extent cx="5727700" cy="24301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20 at 16.15.3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2430145"/>
                    </a:xfrm>
                    <a:prstGeom prst="rect">
                      <a:avLst/>
                    </a:prstGeom>
                  </pic:spPr>
                </pic:pic>
              </a:graphicData>
            </a:graphic>
          </wp:inline>
        </w:drawing>
      </w:r>
    </w:p>
    <w:p w14:paraId="376BEBD3" w14:textId="77777777" w:rsidR="0016213C" w:rsidRDefault="0016213C"/>
    <w:p w14:paraId="0BC262E9" w14:textId="4C74400B" w:rsidR="00255BD7" w:rsidRPr="007C7252" w:rsidRDefault="00C6450A" w:rsidP="005F4AAD">
      <w:pPr>
        <w:jc w:val="both"/>
        <w:rPr>
          <w:sz w:val="22"/>
        </w:rPr>
      </w:pPr>
      <w:r w:rsidRPr="007C7252">
        <w:rPr>
          <w:sz w:val="22"/>
        </w:rPr>
        <w:t xml:space="preserve">For decades one of the most established </w:t>
      </w:r>
      <w:r w:rsidR="0013640A" w:rsidRPr="007C7252">
        <w:rPr>
          <w:sz w:val="22"/>
        </w:rPr>
        <w:t xml:space="preserve">way of raising money was through the use of Venture Capitalists (VC’s), but something curious started to happen 18 months ago.  Blockchain based projects started to raise revenue for projects </w:t>
      </w:r>
      <w:r w:rsidR="00BB1440" w:rsidRPr="007C7252">
        <w:rPr>
          <w:sz w:val="22"/>
        </w:rPr>
        <w:t xml:space="preserve">through a new source called Initial Coin Offering (ICO). </w:t>
      </w:r>
    </w:p>
    <w:p w14:paraId="68DC0E28" w14:textId="77777777" w:rsidR="00255BD7" w:rsidRPr="007C7252" w:rsidRDefault="00255BD7" w:rsidP="005F4AAD">
      <w:pPr>
        <w:jc w:val="both"/>
        <w:rPr>
          <w:sz w:val="22"/>
        </w:rPr>
      </w:pPr>
    </w:p>
    <w:p w14:paraId="4213F86D" w14:textId="30FC380F" w:rsidR="00C6450A" w:rsidRPr="007C7252" w:rsidRDefault="00255BD7" w:rsidP="005F4AAD">
      <w:pPr>
        <w:jc w:val="both"/>
        <w:rPr>
          <w:sz w:val="22"/>
        </w:rPr>
      </w:pPr>
      <w:r w:rsidRPr="007C7252">
        <w:rPr>
          <w:sz w:val="22"/>
        </w:rPr>
        <w:t>Initial Coin Offering is the cryptocurrency equivalent of an Initial Public Offering (IPO)</w:t>
      </w:r>
      <w:r w:rsidR="00880369" w:rsidRPr="007C7252">
        <w:rPr>
          <w:sz w:val="22"/>
        </w:rPr>
        <w:t xml:space="preserve"> and are used to raise funds without the need of VC’s or banks. They are an innovative crowdfunding model allowing </w:t>
      </w:r>
      <w:r w:rsidR="009F0F9D" w:rsidRPr="007C7252">
        <w:rPr>
          <w:sz w:val="22"/>
        </w:rPr>
        <w:t>start-ups</w:t>
      </w:r>
      <w:r w:rsidR="00880369" w:rsidRPr="007C7252">
        <w:rPr>
          <w:sz w:val="22"/>
        </w:rPr>
        <w:t xml:space="preserve"> to bypass traditional early seed investments. They have proven to be wildly popular in the past year or so raising more than 3 billion dollars </w:t>
      </w:r>
      <w:r w:rsidR="00575467" w:rsidRPr="007C7252">
        <w:rPr>
          <w:sz w:val="22"/>
        </w:rPr>
        <w:t>in just 2017</w:t>
      </w:r>
      <w:r w:rsidR="00880369" w:rsidRPr="007C7252">
        <w:rPr>
          <w:sz w:val="22"/>
        </w:rPr>
        <w:t xml:space="preserve"> </w:t>
      </w:r>
      <w:r w:rsidR="00A61B25" w:rsidRPr="007C7252">
        <w:rPr>
          <w:sz w:val="22"/>
        </w:rPr>
        <w:t>and even surp</w:t>
      </w:r>
      <w:r w:rsidR="00575467" w:rsidRPr="007C7252">
        <w:rPr>
          <w:sz w:val="22"/>
        </w:rPr>
        <w:t xml:space="preserve">assing Venture Capital funding for internet companies. </w:t>
      </w:r>
    </w:p>
    <w:p w14:paraId="2B06769C" w14:textId="77777777" w:rsidR="00D42C8F" w:rsidRPr="007C7252" w:rsidRDefault="00D42C8F" w:rsidP="005F4AAD">
      <w:pPr>
        <w:jc w:val="both"/>
        <w:rPr>
          <w:sz w:val="22"/>
        </w:rPr>
      </w:pPr>
    </w:p>
    <w:p w14:paraId="49C481CB" w14:textId="2E9195D1" w:rsidR="00354587" w:rsidRPr="007C7252" w:rsidRDefault="00D42C8F" w:rsidP="005F4AAD">
      <w:pPr>
        <w:jc w:val="both"/>
        <w:rPr>
          <w:sz w:val="22"/>
        </w:rPr>
      </w:pPr>
      <w:r w:rsidRPr="007C7252">
        <w:rPr>
          <w:sz w:val="22"/>
        </w:rPr>
        <w:t>How this works is that</w:t>
      </w:r>
      <w:r w:rsidR="00CC6215" w:rsidRPr="007C7252">
        <w:rPr>
          <w:sz w:val="22"/>
        </w:rPr>
        <w:t xml:space="preserve"> new</w:t>
      </w:r>
      <w:r w:rsidRPr="007C7252">
        <w:rPr>
          <w:sz w:val="22"/>
        </w:rPr>
        <w:t xml:space="preserve"> </w:t>
      </w:r>
      <w:r w:rsidR="00CC6215" w:rsidRPr="007C7252">
        <w:rPr>
          <w:sz w:val="22"/>
        </w:rPr>
        <w:t>businesses raise money by selling a “token” to early adopters and enthusiasts</w:t>
      </w:r>
      <w:r w:rsidR="00A83A05" w:rsidRPr="007C7252">
        <w:rPr>
          <w:sz w:val="22"/>
        </w:rPr>
        <w:t>. But tokens are not to be confused</w:t>
      </w:r>
      <w:r w:rsidR="00E42B86" w:rsidRPr="007C7252">
        <w:rPr>
          <w:sz w:val="22"/>
        </w:rPr>
        <w:t xml:space="preserve"> with</w:t>
      </w:r>
      <w:r w:rsidR="00A83A05" w:rsidRPr="007C7252">
        <w:rPr>
          <w:sz w:val="22"/>
        </w:rPr>
        <w:t xml:space="preserve"> </w:t>
      </w:r>
      <w:r w:rsidR="00076C1B" w:rsidRPr="007C7252">
        <w:rPr>
          <w:sz w:val="22"/>
        </w:rPr>
        <w:t>equity as they are not</w:t>
      </w:r>
      <w:r w:rsidR="00E42B86" w:rsidRPr="007C7252">
        <w:rPr>
          <w:sz w:val="22"/>
        </w:rPr>
        <w:t xml:space="preserve"> necessarily a</w:t>
      </w:r>
      <w:r w:rsidR="00076C1B" w:rsidRPr="007C7252">
        <w:rPr>
          <w:sz w:val="22"/>
        </w:rPr>
        <w:t xml:space="preserve"> share in the business or provide a dividend return to its buyers. </w:t>
      </w:r>
      <w:r w:rsidR="00C730F1" w:rsidRPr="007C7252">
        <w:rPr>
          <w:sz w:val="22"/>
        </w:rPr>
        <w:t>Rather, by purchasing</w:t>
      </w:r>
      <w:r w:rsidR="00374A6C" w:rsidRPr="007C7252">
        <w:rPr>
          <w:sz w:val="22"/>
        </w:rPr>
        <w:t xml:space="preserve"> ICO tokens, </w:t>
      </w:r>
      <w:r w:rsidR="00C730F1" w:rsidRPr="007C7252">
        <w:rPr>
          <w:sz w:val="22"/>
        </w:rPr>
        <w:t>holders can</w:t>
      </w:r>
      <w:r w:rsidR="00374A6C" w:rsidRPr="007C7252">
        <w:rPr>
          <w:sz w:val="22"/>
        </w:rPr>
        <w:t xml:space="preserve"> utilise and access the services and functionality </w:t>
      </w:r>
      <w:r w:rsidR="00C730F1" w:rsidRPr="007C7252">
        <w:rPr>
          <w:sz w:val="22"/>
        </w:rPr>
        <w:t>the business’s</w:t>
      </w:r>
      <w:r w:rsidR="00374A6C" w:rsidRPr="007C7252">
        <w:rPr>
          <w:sz w:val="22"/>
        </w:rPr>
        <w:t xml:space="preserve"> network provides. Thus the value of token(s) lies in it’s scarcity </w:t>
      </w:r>
      <w:r w:rsidR="00802DC9" w:rsidRPr="007C7252">
        <w:rPr>
          <w:sz w:val="22"/>
        </w:rPr>
        <w:t xml:space="preserve">and its ownership </w:t>
      </w:r>
      <w:r w:rsidR="00C730F1" w:rsidRPr="007C7252">
        <w:rPr>
          <w:sz w:val="22"/>
        </w:rPr>
        <w:t>allowing</w:t>
      </w:r>
      <w:r w:rsidR="00802DC9" w:rsidRPr="007C7252">
        <w:rPr>
          <w:sz w:val="22"/>
        </w:rPr>
        <w:t xml:space="preserve"> participation in a</w:t>
      </w:r>
      <w:r w:rsidR="00C730F1" w:rsidRPr="007C7252">
        <w:rPr>
          <w:sz w:val="22"/>
        </w:rPr>
        <w:t xml:space="preserve"> decentralised network beneficial to its user</w:t>
      </w:r>
      <w:r w:rsidR="00802DC9" w:rsidRPr="007C7252">
        <w:rPr>
          <w:sz w:val="22"/>
        </w:rPr>
        <w:t xml:space="preserve">. </w:t>
      </w:r>
      <w:r w:rsidR="00374A6C" w:rsidRPr="007C7252">
        <w:rPr>
          <w:sz w:val="22"/>
        </w:rPr>
        <w:t xml:space="preserve"> </w:t>
      </w:r>
    </w:p>
    <w:p w14:paraId="2257C63F" w14:textId="77777777" w:rsidR="00252D01" w:rsidRPr="007C7252" w:rsidRDefault="00252D01" w:rsidP="005F4AAD">
      <w:pPr>
        <w:jc w:val="both"/>
        <w:rPr>
          <w:sz w:val="22"/>
        </w:rPr>
      </w:pPr>
    </w:p>
    <w:p w14:paraId="2765965D" w14:textId="0EE10400" w:rsidR="009A4C19" w:rsidRPr="007C7252" w:rsidRDefault="00253B89" w:rsidP="005F4AAD">
      <w:pPr>
        <w:jc w:val="both"/>
        <w:rPr>
          <w:sz w:val="22"/>
        </w:rPr>
      </w:pPr>
      <w:r w:rsidRPr="007C7252">
        <w:rPr>
          <w:sz w:val="22"/>
        </w:rPr>
        <w:t>However, the value of a token is not equal</w:t>
      </w:r>
      <w:r w:rsidR="0031139F" w:rsidRPr="007C7252">
        <w:rPr>
          <w:sz w:val="22"/>
        </w:rPr>
        <w:t xml:space="preserve">, in fact not all ICOs are created equal, there are at least </w:t>
      </w:r>
      <w:r w:rsidR="00024F55" w:rsidRPr="007C7252">
        <w:rPr>
          <w:sz w:val="22"/>
        </w:rPr>
        <w:t>four</w:t>
      </w:r>
      <w:r w:rsidR="0031139F" w:rsidRPr="007C7252">
        <w:rPr>
          <w:sz w:val="22"/>
        </w:rPr>
        <w:t xml:space="preserve"> types of tokens.</w:t>
      </w:r>
    </w:p>
    <w:p w14:paraId="2AE375AD" w14:textId="7C17072E" w:rsidR="00586633" w:rsidRPr="007C7252" w:rsidRDefault="00252D01" w:rsidP="005F4AAD">
      <w:pPr>
        <w:jc w:val="both"/>
        <w:rPr>
          <w:sz w:val="22"/>
        </w:rPr>
      </w:pPr>
      <w:r w:rsidRPr="007C7252">
        <w:rPr>
          <w:sz w:val="22"/>
        </w:rPr>
        <w:t xml:space="preserve">  </w:t>
      </w:r>
      <w:r>
        <w:t xml:space="preserve">                   </w:t>
      </w:r>
    </w:p>
    <w:tbl>
      <w:tblPr>
        <w:tblW w:w="7840" w:type="dxa"/>
        <w:tblLook w:val="04A0" w:firstRow="1" w:lastRow="0" w:firstColumn="1" w:lastColumn="0" w:noHBand="0" w:noVBand="1"/>
      </w:tblPr>
      <w:tblGrid>
        <w:gridCol w:w="1597"/>
        <w:gridCol w:w="3624"/>
        <w:gridCol w:w="1319"/>
        <w:gridCol w:w="1300"/>
      </w:tblGrid>
      <w:tr w:rsidR="00252D01" w:rsidRPr="00252D01" w14:paraId="3F27BE63" w14:textId="77777777" w:rsidTr="00252D01">
        <w:trPr>
          <w:trHeight w:val="400"/>
        </w:trPr>
        <w:tc>
          <w:tcPr>
            <w:tcW w:w="16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47FDAC" w14:textId="77777777" w:rsidR="00252D01" w:rsidRPr="00252D01" w:rsidRDefault="00252D01" w:rsidP="00252D01">
            <w:pPr>
              <w:jc w:val="both"/>
              <w:rPr>
                <w:rFonts w:ascii="Calibri" w:eastAsia="Times New Roman" w:hAnsi="Calibri" w:cs="Times New Roman"/>
                <w:b/>
                <w:bCs/>
                <w:color w:val="000000"/>
                <w:sz w:val="28"/>
                <w:szCs w:val="28"/>
                <w:lang w:eastAsia="en-GB"/>
              </w:rPr>
            </w:pPr>
            <w:r w:rsidRPr="00252D01">
              <w:rPr>
                <w:rFonts w:ascii="Calibri" w:eastAsia="Times New Roman" w:hAnsi="Calibri" w:cs="Times New Roman"/>
                <w:b/>
                <w:bCs/>
                <w:color w:val="000000"/>
                <w:sz w:val="28"/>
                <w:lang w:eastAsia="en-GB"/>
              </w:rPr>
              <w:t>Token Type</w:t>
            </w:r>
          </w:p>
        </w:tc>
        <w:tc>
          <w:tcPr>
            <w:tcW w:w="3640" w:type="dxa"/>
            <w:tcBorders>
              <w:top w:val="single" w:sz="8" w:space="0" w:color="auto"/>
              <w:left w:val="nil"/>
              <w:bottom w:val="single" w:sz="8" w:space="0" w:color="auto"/>
              <w:right w:val="single" w:sz="8" w:space="0" w:color="auto"/>
            </w:tcBorders>
            <w:shd w:val="clear" w:color="auto" w:fill="auto"/>
            <w:vAlign w:val="center"/>
            <w:hideMark/>
          </w:tcPr>
          <w:p w14:paraId="6BDB7637" w14:textId="77777777" w:rsidR="00252D01" w:rsidRPr="00252D01" w:rsidRDefault="00252D01" w:rsidP="00252D01">
            <w:pPr>
              <w:jc w:val="both"/>
              <w:rPr>
                <w:rFonts w:ascii="Calibri" w:eastAsia="Times New Roman" w:hAnsi="Calibri" w:cs="Times New Roman"/>
                <w:b/>
                <w:bCs/>
                <w:color w:val="000000"/>
                <w:sz w:val="28"/>
                <w:szCs w:val="28"/>
                <w:lang w:eastAsia="en-GB"/>
              </w:rPr>
            </w:pPr>
            <w:r w:rsidRPr="00252D01">
              <w:rPr>
                <w:rFonts w:ascii="Calibri" w:eastAsia="Times New Roman" w:hAnsi="Calibri" w:cs="Times New Roman"/>
                <w:b/>
                <w:bCs/>
                <w:color w:val="000000"/>
                <w:sz w:val="28"/>
                <w:lang w:eastAsia="en-GB"/>
              </w:rPr>
              <w:t>Function</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5D5307CD" w14:textId="77777777" w:rsidR="00252D01" w:rsidRPr="00252D01" w:rsidRDefault="00252D01" w:rsidP="00252D01">
            <w:pPr>
              <w:jc w:val="both"/>
              <w:rPr>
                <w:rFonts w:ascii="Calibri" w:eastAsia="Times New Roman" w:hAnsi="Calibri" w:cs="Times New Roman"/>
                <w:b/>
                <w:bCs/>
                <w:color w:val="000000"/>
                <w:sz w:val="28"/>
                <w:szCs w:val="28"/>
                <w:lang w:eastAsia="en-GB"/>
              </w:rPr>
            </w:pPr>
            <w:r w:rsidRPr="00252D01">
              <w:rPr>
                <w:rFonts w:ascii="Calibri" w:eastAsia="Times New Roman" w:hAnsi="Calibri" w:cs="Times New Roman"/>
                <w:b/>
                <w:bCs/>
                <w:color w:val="000000"/>
                <w:sz w:val="28"/>
                <w:lang w:eastAsia="en-GB"/>
              </w:rPr>
              <w:t>Examples</w:t>
            </w:r>
          </w:p>
        </w:tc>
        <w:tc>
          <w:tcPr>
            <w:tcW w:w="1300" w:type="dxa"/>
            <w:tcBorders>
              <w:top w:val="nil"/>
              <w:left w:val="nil"/>
              <w:bottom w:val="nil"/>
              <w:right w:val="nil"/>
            </w:tcBorders>
            <w:shd w:val="clear" w:color="auto" w:fill="auto"/>
            <w:noWrap/>
            <w:vAlign w:val="bottom"/>
            <w:hideMark/>
          </w:tcPr>
          <w:p w14:paraId="555F2BFF" w14:textId="77777777" w:rsidR="00252D01" w:rsidRPr="00252D01" w:rsidRDefault="00252D01" w:rsidP="00252D01">
            <w:pPr>
              <w:jc w:val="both"/>
              <w:rPr>
                <w:rFonts w:ascii="Calibri" w:eastAsia="Times New Roman" w:hAnsi="Calibri" w:cs="Times New Roman"/>
                <w:b/>
                <w:bCs/>
                <w:color w:val="000000"/>
                <w:sz w:val="28"/>
                <w:szCs w:val="28"/>
                <w:lang w:eastAsia="en-GB"/>
              </w:rPr>
            </w:pPr>
          </w:p>
        </w:tc>
      </w:tr>
      <w:tr w:rsidR="00252D01" w:rsidRPr="00252D01" w14:paraId="0061037C" w14:textId="77777777" w:rsidTr="00252D01">
        <w:trPr>
          <w:trHeight w:val="660"/>
        </w:trPr>
        <w:tc>
          <w:tcPr>
            <w:tcW w:w="1600" w:type="dxa"/>
            <w:tcBorders>
              <w:top w:val="nil"/>
              <w:left w:val="single" w:sz="8" w:space="0" w:color="auto"/>
              <w:bottom w:val="single" w:sz="8" w:space="0" w:color="auto"/>
              <w:right w:val="single" w:sz="8" w:space="0" w:color="auto"/>
            </w:tcBorders>
            <w:shd w:val="clear" w:color="auto" w:fill="auto"/>
            <w:vAlign w:val="center"/>
            <w:hideMark/>
          </w:tcPr>
          <w:p w14:paraId="72BFB341"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Currency Tokens</w:t>
            </w:r>
          </w:p>
        </w:tc>
        <w:tc>
          <w:tcPr>
            <w:tcW w:w="3640" w:type="dxa"/>
            <w:tcBorders>
              <w:top w:val="nil"/>
              <w:left w:val="nil"/>
              <w:bottom w:val="single" w:sz="8" w:space="0" w:color="auto"/>
              <w:right w:val="single" w:sz="8" w:space="0" w:color="auto"/>
            </w:tcBorders>
            <w:shd w:val="clear" w:color="auto" w:fill="auto"/>
            <w:vAlign w:val="center"/>
            <w:hideMark/>
          </w:tcPr>
          <w:p w14:paraId="3F4CB5E8"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Designed to provide holder, right to purchase goods online</w:t>
            </w:r>
          </w:p>
        </w:tc>
        <w:tc>
          <w:tcPr>
            <w:tcW w:w="1300" w:type="dxa"/>
            <w:tcBorders>
              <w:top w:val="nil"/>
              <w:left w:val="nil"/>
              <w:bottom w:val="single" w:sz="8" w:space="0" w:color="auto"/>
              <w:right w:val="single" w:sz="8" w:space="0" w:color="auto"/>
            </w:tcBorders>
            <w:shd w:val="clear" w:color="auto" w:fill="auto"/>
            <w:vAlign w:val="center"/>
            <w:hideMark/>
          </w:tcPr>
          <w:p w14:paraId="7CEB5154" w14:textId="53583F60"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noProof/>
                <w:color w:val="000000"/>
                <w:lang w:eastAsia="en-GB"/>
              </w:rPr>
              <w:drawing>
                <wp:anchor distT="0" distB="0" distL="114300" distR="114300" simplePos="0" relativeHeight="251659264" behindDoc="0" locked="0" layoutInCell="1" allowOverlap="1" wp14:anchorId="15C8D290" wp14:editId="41164850">
                  <wp:simplePos x="0" y="0"/>
                  <wp:positionH relativeFrom="column">
                    <wp:posOffset>-25400</wp:posOffset>
                  </wp:positionH>
                  <wp:positionV relativeFrom="paragraph">
                    <wp:posOffset>4445</wp:posOffset>
                  </wp:positionV>
                  <wp:extent cx="687070" cy="345440"/>
                  <wp:effectExtent l="0" t="0" r="0" b="10160"/>
                  <wp:wrapNone/>
                  <wp:docPr id="6" name="Picture 6"/>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7070" cy="345440"/>
                          </a:xfrm>
                          <a:prstGeom prst="rect">
                            <a:avLst/>
                          </a:prstGeom>
                        </pic:spPr>
                      </pic:pic>
                    </a:graphicData>
                  </a:graphic>
                  <wp14:sizeRelH relativeFrom="page">
                    <wp14:pctWidth>0</wp14:pctWidth>
                  </wp14:sizeRelH>
                  <wp14:sizeRelV relativeFrom="page">
                    <wp14:pctHeight>0</wp14:pctHeight>
                  </wp14:sizeRelV>
                </wp:anchor>
              </w:drawing>
            </w:r>
          </w:p>
        </w:tc>
        <w:tc>
          <w:tcPr>
            <w:tcW w:w="1300" w:type="dxa"/>
            <w:vMerge w:val="restart"/>
            <w:tcBorders>
              <w:top w:val="nil"/>
              <w:left w:val="nil"/>
              <w:bottom w:val="nil"/>
              <w:right w:val="nil"/>
            </w:tcBorders>
            <w:shd w:val="clear" w:color="auto" w:fill="auto"/>
            <w:noWrap/>
            <w:vAlign w:val="bottom"/>
            <w:hideMark/>
          </w:tcPr>
          <w:p w14:paraId="6A9C11BA" w14:textId="450EC07E" w:rsidR="00252D01" w:rsidRPr="00252D01" w:rsidRDefault="00252D01" w:rsidP="00252D01">
            <w:pPr>
              <w:rPr>
                <w:rFonts w:ascii="Calibri" w:eastAsia="Times New Roman" w:hAnsi="Calibri" w:cs="Times New Roman"/>
                <w:color w:val="000000"/>
                <w:lang w:eastAsia="en-GB"/>
              </w:rPr>
            </w:pPr>
          </w:p>
        </w:tc>
      </w:tr>
      <w:tr w:rsidR="00252D01" w:rsidRPr="00252D01" w14:paraId="147132EC" w14:textId="77777777" w:rsidTr="00252D01">
        <w:trPr>
          <w:trHeight w:val="640"/>
        </w:trPr>
        <w:tc>
          <w:tcPr>
            <w:tcW w:w="1600" w:type="dxa"/>
            <w:tcBorders>
              <w:top w:val="nil"/>
              <w:left w:val="single" w:sz="8" w:space="0" w:color="auto"/>
              <w:bottom w:val="single" w:sz="8" w:space="0" w:color="auto"/>
              <w:right w:val="single" w:sz="8" w:space="0" w:color="auto"/>
            </w:tcBorders>
            <w:shd w:val="clear" w:color="auto" w:fill="auto"/>
            <w:vAlign w:val="center"/>
            <w:hideMark/>
          </w:tcPr>
          <w:p w14:paraId="24CF69A4"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Utility Tokens</w:t>
            </w:r>
          </w:p>
        </w:tc>
        <w:tc>
          <w:tcPr>
            <w:tcW w:w="3640" w:type="dxa"/>
            <w:tcBorders>
              <w:top w:val="nil"/>
              <w:left w:val="nil"/>
              <w:bottom w:val="single" w:sz="8" w:space="0" w:color="auto"/>
              <w:right w:val="single" w:sz="8" w:space="0" w:color="auto"/>
            </w:tcBorders>
            <w:shd w:val="clear" w:color="auto" w:fill="auto"/>
            <w:vAlign w:val="center"/>
            <w:hideMark/>
          </w:tcPr>
          <w:p w14:paraId="441477E5"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Provide access to a company’s product or service</w:t>
            </w:r>
          </w:p>
        </w:tc>
        <w:tc>
          <w:tcPr>
            <w:tcW w:w="1300" w:type="dxa"/>
            <w:tcBorders>
              <w:top w:val="nil"/>
              <w:left w:val="nil"/>
              <w:bottom w:val="single" w:sz="8" w:space="0" w:color="auto"/>
              <w:right w:val="single" w:sz="8" w:space="0" w:color="auto"/>
            </w:tcBorders>
            <w:shd w:val="clear" w:color="auto" w:fill="auto"/>
            <w:vAlign w:val="center"/>
            <w:hideMark/>
          </w:tcPr>
          <w:p w14:paraId="604860B5" w14:textId="62618C82"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noProof/>
                <w:color w:val="000000"/>
                <w:lang w:eastAsia="en-GB"/>
              </w:rPr>
              <w:drawing>
                <wp:anchor distT="0" distB="0" distL="114300" distR="114300" simplePos="0" relativeHeight="251662336" behindDoc="0" locked="0" layoutInCell="1" allowOverlap="1" wp14:anchorId="54429529" wp14:editId="5216F49C">
                  <wp:simplePos x="0" y="0"/>
                  <wp:positionH relativeFrom="column">
                    <wp:posOffset>-22860</wp:posOffset>
                  </wp:positionH>
                  <wp:positionV relativeFrom="paragraph">
                    <wp:posOffset>44450</wp:posOffset>
                  </wp:positionV>
                  <wp:extent cx="774700" cy="317500"/>
                  <wp:effectExtent l="0" t="0" r="0" b="12700"/>
                  <wp:wrapNone/>
                  <wp:docPr id="5" name="Picture 5"/>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4700" cy="317500"/>
                          </a:xfrm>
                          <a:prstGeom prst="rect">
                            <a:avLst/>
                          </a:prstGeom>
                        </pic:spPr>
                      </pic:pic>
                    </a:graphicData>
                  </a:graphic>
                  <wp14:sizeRelH relativeFrom="page">
                    <wp14:pctWidth>0</wp14:pctWidth>
                  </wp14:sizeRelH>
                  <wp14:sizeRelV relativeFrom="page">
                    <wp14:pctHeight>0</wp14:pctHeight>
                  </wp14:sizeRelV>
                </wp:anchor>
              </w:drawing>
            </w:r>
          </w:p>
        </w:tc>
        <w:tc>
          <w:tcPr>
            <w:tcW w:w="1300" w:type="dxa"/>
            <w:vMerge/>
            <w:tcBorders>
              <w:top w:val="nil"/>
              <w:left w:val="nil"/>
              <w:bottom w:val="nil"/>
              <w:right w:val="nil"/>
            </w:tcBorders>
            <w:vAlign w:val="center"/>
            <w:hideMark/>
          </w:tcPr>
          <w:p w14:paraId="53B2FBC2" w14:textId="77777777" w:rsidR="00252D01" w:rsidRPr="00252D01" w:rsidRDefault="00252D01" w:rsidP="00252D01">
            <w:pPr>
              <w:rPr>
                <w:rFonts w:ascii="Calibri" w:eastAsia="Times New Roman" w:hAnsi="Calibri" w:cs="Times New Roman"/>
                <w:color w:val="000000"/>
                <w:lang w:eastAsia="en-GB"/>
              </w:rPr>
            </w:pPr>
          </w:p>
        </w:tc>
      </w:tr>
      <w:tr w:rsidR="00252D01" w:rsidRPr="00252D01" w14:paraId="12040EAD" w14:textId="77777777" w:rsidTr="00252D01">
        <w:trPr>
          <w:trHeight w:val="660"/>
        </w:trPr>
        <w:tc>
          <w:tcPr>
            <w:tcW w:w="1600" w:type="dxa"/>
            <w:tcBorders>
              <w:top w:val="nil"/>
              <w:left w:val="single" w:sz="8" w:space="0" w:color="auto"/>
              <w:bottom w:val="single" w:sz="8" w:space="0" w:color="auto"/>
              <w:right w:val="single" w:sz="8" w:space="0" w:color="auto"/>
            </w:tcBorders>
            <w:shd w:val="clear" w:color="auto" w:fill="auto"/>
            <w:vAlign w:val="center"/>
            <w:hideMark/>
          </w:tcPr>
          <w:p w14:paraId="55BB3B5C"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Equity Tokens</w:t>
            </w:r>
          </w:p>
        </w:tc>
        <w:tc>
          <w:tcPr>
            <w:tcW w:w="3640" w:type="dxa"/>
            <w:tcBorders>
              <w:top w:val="nil"/>
              <w:left w:val="nil"/>
              <w:bottom w:val="single" w:sz="8" w:space="0" w:color="auto"/>
              <w:right w:val="single" w:sz="8" w:space="0" w:color="auto"/>
            </w:tcBorders>
            <w:shd w:val="clear" w:color="auto" w:fill="auto"/>
            <w:vAlign w:val="center"/>
            <w:hideMark/>
          </w:tcPr>
          <w:p w14:paraId="0AE11809"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Similar to stocks, represent a share in the company</w:t>
            </w:r>
          </w:p>
        </w:tc>
        <w:tc>
          <w:tcPr>
            <w:tcW w:w="1300" w:type="dxa"/>
            <w:tcBorders>
              <w:top w:val="nil"/>
              <w:left w:val="nil"/>
              <w:bottom w:val="single" w:sz="8" w:space="0" w:color="auto"/>
              <w:right w:val="single" w:sz="8" w:space="0" w:color="auto"/>
            </w:tcBorders>
            <w:shd w:val="clear" w:color="auto" w:fill="auto"/>
            <w:vAlign w:val="center"/>
            <w:hideMark/>
          </w:tcPr>
          <w:p w14:paraId="7863BC0D" w14:textId="6A8281AB"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noProof/>
                <w:color w:val="000000"/>
                <w:lang w:eastAsia="en-GB"/>
              </w:rPr>
              <w:drawing>
                <wp:anchor distT="0" distB="0" distL="114300" distR="114300" simplePos="0" relativeHeight="251661312" behindDoc="0" locked="0" layoutInCell="1" allowOverlap="1" wp14:anchorId="19611E3D" wp14:editId="3597B955">
                  <wp:simplePos x="0" y="0"/>
                  <wp:positionH relativeFrom="column">
                    <wp:posOffset>-23495</wp:posOffset>
                  </wp:positionH>
                  <wp:positionV relativeFrom="paragraph">
                    <wp:posOffset>-66040</wp:posOffset>
                  </wp:positionV>
                  <wp:extent cx="687070" cy="342265"/>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070" cy="342265"/>
                          </a:xfrm>
                          <a:prstGeom prst="rect">
                            <a:avLst/>
                          </a:prstGeom>
                        </pic:spPr>
                      </pic:pic>
                    </a:graphicData>
                  </a:graphic>
                  <wp14:sizeRelH relativeFrom="page">
                    <wp14:pctWidth>0</wp14:pctWidth>
                  </wp14:sizeRelH>
                  <wp14:sizeRelV relativeFrom="page">
                    <wp14:pctHeight>0</wp14:pctHeight>
                  </wp14:sizeRelV>
                </wp:anchor>
              </w:drawing>
            </w:r>
          </w:p>
        </w:tc>
        <w:tc>
          <w:tcPr>
            <w:tcW w:w="1300" w:type="dxa"/>
            <w:tcBorders>
              <w:top w:val="nil"/>
              <w:left w:val="nil"/>
              <w:bottom w:val="nil"/>
              <w:right w:val="nil"/>
            </w:tcBorders>
            <w:shd w:val="clear" w:color="auto" w:fill="auto"/>
            <w:noWrap/>
            <w:vAlign w:val="bottom"/>
            <w:hideMark/>
          </w:tcPr>
          <w:p w14:paraId="25323410" w14:textId="6308FA98" w:rsidR="00252D01" w:rsidRPr="00252D01" w:rsidRDefault="00252D01" w:rsidP="00252D01">
            <w:pPr>
              <w:rPr>
                <w:rFonts w:ascii="Calibri" w:eastAsia="Times New Roman" w:hAnsi="Calibri" w:cs="Times New Roman"/>
                <w:color w:val="000000"/>
                <w:lang w:eastAsia="en-GB"/>
              </w:rPr>
            </w:pPr>
          </w:p>
        </w:tc>
      </w:tr>
      <w:tr w:rsidR="00252D01" w:rsidRPr="00252D01" w14:paraId="08086CCF" w14:textId="77777777" w:rsidTr="00252D01">
        <w:trPr>
          <w:trHeight w:val="660"/>
        </w:trPr>
        <w:tc>
          <w:tcPr>
            <w:tcW w:w="1600" w:type="dxa"/>
            <w:tcBorders>
              <w:top w:val="nil"/>
              <w:left w:val="single" w:sz="8" w:space="0" w:color="auto"/>
              <w:bottom w:val="single" w:sz="8" w:space="0" w:color="auto"/>
              <w:right w:val="single" w:sz="8" w:space="0" w:color="auto"/>
            </w:tcBorders>
            <w:shd w:val="clear" w:color="auto" w:fill="auto"/>
            <w:vAlign w:val="center"/>
            <w:hideMark/>
          </w:tcPr>
          <w:p w14:paraId="40B3B38D"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Asset Tokens</w:t>
            </w:r>
          </w:p>
        </w:tc>
        <w:tc>
          <w:tcPr>
            <w:tcW w:w="3640" w:type="dxa"/>
            <w:tcBorders>
              <w:top w:val="nil"/>
              <w:left w:val="nil"/>
              <w:bottom w:val="single" w:sz="8" w:space="0" w:color="auto"/>
              <w:right w:val="single" w:sz="8" w:space="0" w:color="auto"/>
            </w:tcBorders>
            <w:shd w:val="clear" w:color="auto" w:fill="auto"/>
            <w:vAlign w:val="center"/>
            <w:hideMark/>
          </w:tcPr>
          <w:p w14:paraId="48FC049C" w14:textId="77777777"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color w:val="000000"/>
                <w:lang w:eastAsia="en-GB"/>
              </w:rPr>
              <w:t>They are claims on an underlying physical asset</w:t>
            </w:r>
          </w:p>
        </w:tc>
        <w:tc>
          <w:tcPr>
            <w:tcW w:w="1300" w:type="dxa"/>
            <w:tcBorders>
              <w:top w:val="nil"/>
              <w:left w:val="nil"/>
              <w:bottom w:val="single" w:sz="8" w:space="0" w:color="auto"/>
              <w:right w:val="single" w:sz="8" w:space="0" w:color="auto"/>
            </w:tcBorders>
            <w:shd w:val="clear" w:color="auto" w:fill="auto"/>
            <w:vAlign w:val="center"/>
            <w:hideMark/>
          </w:tcPr>
          <w:p w14:paraId="0749AD17" w14:textId="1920BB6F" w:rsidR="00252D01" w:rsidRPr="00252D01" w:rsidRDefault="00252D01" w:rsidP="00252D01">
            <w:pPr>
              <w:jc w:val="both"/>
              <w:rPr>
                <w:rFonts w:ascii="Calibri" w:eastAsia="Times New Roman" w:hAnsi="Calibri" w:cs="Times New Roman"/>
                <w:color w:val="000000"/>
                <w:lang w:eastAsia="en-GB"/>
              </w:rPr>
            </w:pPr>
            <w:r w:rsidRPr="00252D01">
              <w:rPr>
                <w:rFonts w:ascii="Calibri" w:eastAsia="Times New Roman" w:hAnsi="Calibri" w:cs="Times New Roman"/>
                <w:noProof/>
                <w:color w:val="000000"/>
                <w:lang w:eastAsia="en-GB"/>
              </w:rPr>
              <w:drawing>
                <wp:anchor distT="0" distB="0" distL="114300" distR="114300" simplePos="0" relativeHeight="251660288" behindDoc="0" locked="0" layoutInCell="1" allowOverlap="1" wp14:anchorId="3DD1C38E" wp14:editId="5C34F335">
                  <wp:simplePos x="0" y="0"/>
                  <wp:positionH relativeFrom="column">
                    <wp:posOffset>-25400</wp:posOffset>
                  </wp:positionH>
                  <wp:positionV relativeFrom="paragraph">
                    <wp:posOffset>-34925</wp:posOffset>
                  </wp:positionV>
                  <wp:extent cx="687070" cy="316865"/>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316865"/>
                          </a:xfrm>
                          <a:prstGeom prst="rect">
                            <a:avLst/>
                          </a:prstGeom>
                        </pic:spPr>
                      </pic:pic>
                    </a:graphicData>
                  </a:graphic>
                  <wp14:sizeRelH relativeFrom="page">
                    <wp14:pctWidth>0</wp14:pctWidth>
                  </wp14:sizeRelH>
                  <wp14:sizeRelV relativeFrom="page">
                    <wp14:pctHeight>0</wp14:pctHeight>
                  </wp14:sizeRelV>
                </wp:anchor>
              </w:drawing>
            </w:r>
          </w:p>
        </w:tc>
        <w:tc>
          <w:tcPr>
            <w:tcW w:w="1300" w:type="dxa"/>
            <w:tcBorders>
              <w:top w:val="nil"/>
              <w:left w:val="nil"/>
              <w:bottom w:val="nil"/>
              <w:right w:val="nil"/>
            </w:tcBorders>
            <w:shd w:val="clear" w:color="auto" w:fill="auto"/>
            <w:noWrap/>
            <w:vAlign w:val="bottom"/>
            <w:hideMark/>
          </w:tcPr>
          <w:p w14:paraId="30820BB8" w14:textId="57E22134" w:rsidR="00252D01" w:rsidRPr="00252D01" w:rsidRDefault="00252D01" w:rsidP="00252D01">
            <w:pPr>
              <w:rPr>
                <w:rFonts w:ascii="Calibri" w:eastAsia="Times New Roman" w:hAnsi="Calibri" w:cs="Times New Roman"/>
                <w:color w:val="000000"/>
                <w:lang w:eastAsia="en-GB"/>
              </w:rPr>
            </w:pPr>
          </w:p>
        </w:tc>
      </w:tr>
    </w:tbl>
    <w:p w14:paraId="3FEB55F5" w14:textId="77777777" w:rsidR="00446815" w:rsidRDefault="00446815" w:rsidP="005F4AAD">
      <w:pPr>
        <w:jc w:val="both"/>
      </w:pPr>
    </w:p>
    <w:p w14:paraId="1A7B6F77" w14:textId="77777777" w:rsidR="007C7252" w:rsidRDefault="007C7252" w:rsidP="005F4AAD">
      <w:pPr>
        <w:jc w:val="both"/>
        <w:rPr>
          <w:b/>
          <w:u w:val="single"/>
        </w:rPr>
      </w:pPr>
    </w:p>
    <w:p w14:paraId="0C6FF689" w14:textId="77777777" w:rsidR="007C7252" w:rsidRDefault="007C7252" w:rsidP="005F4AAD">
      <w:pPr>
        <w:jc w:val="both"/>
        <w:rPr>
          <w:b/>
          <w:u w:val="single"/>
        </w:rPr>
      </w:pPr>
    </w:p>
    <w:p w14:paraId="424D7BCF" w14:textId="42EC0C1E" w:rsidR="00446815" w:rsidRPr="00E85719" w:rsidRDefault="00446815" w:rsidP="005F4AAD">
      <w:pPr>
        <w:jc w:val="both"/>
        <w:rPr>
          <w:b/>
          <w:sz w:val="22"/>
          <w:u w:val="single"/>
        </w:rPr>
      </w:pPr>
      <w:r w:rsidRPr="00E85719">
        <w:rPr>
          <w:b/>
          <w:sz w:val="22"/>
          <w:u w:val="single"/>
        </w:rPr>
        <w:lastRenderedPageBreak/>
        <w:t>Currency tokens</w:t>
      </w:r>
    </w:p>
    <w:p w14:paraId="101AD6F8" w14:textId="77777777" w:rsidR="00B00DB2" w:rsidRPr="00E85719" w:rsidRDefault="00B00DB2" w:rsidP="005F4AAD">
      <w:pPr>
        <w:jc w:val="both"/>
        <w:rPr>
          <w:sz w:val="22"/>
        </w:rPr>
      </w:pPr>
    </w:p>
    <w:p w14:paraId="43D8B135" w14:textId="3E5AB354" w:rsidR="00354587" w:rsidRPr="00E85719" w:rsidRDefault="00446815" w:rsidP="005F4AAD">
      <w:pPr>
        <w:jc w:val="both"/>
        <w:rPr>
          <w:sz w:val="22"/>
        </w:rPr>
      </w:pPr>
      <w:r w:rsidRPr="00E85719">
        <w:rPr>
          <w:sz w:val="22"/>
        </w:rPr>
        <w:t>This is the most prevalent and widely known token also known as cryptocurrency. They are digital tokens that can be used to buy and sell goods and can be held as a store of value</w:t>
      </w:r>
      <w:r w:rsidR="005E71AF" w:rsidRPr="00E85719">
        <w:rPr>
          <w:sz w:val="22"/>
        </w:rPr>
        <w:t xml:space="preserve"> and are simply</w:t>
      </w:r>
      <w:r w:rsidR="004C1FA9" w:rsidRPr="00E85719">
        <w:rPr>
          <w:sz w:val="22"/>
        </w:rPr>
        <w:t xml:space="preserve"> a medium of value exchange</w:t>
      </w:r>
      <w:r w:rsidRPr="00E85719">
        <w:rPr>
          <w:sz w:val="22"/>
        </w:rPr>
        <w:t>.</w:t>
      </w:r>
      <w:r w:rsidR="004C1FA9" w:rsidRPr="00E85719">
        <w:rPr>
          <w:sz w:val="22"/>
        </w:rPr>
        <w:t xml:space="preserve"> They are </w:t>
      </w:r>
      <w:r w:rsidR="00354587" w:rsidRPr="00E85719">
        <w:rPr>
          <w:sz w:val="22"/>
        </w:rPr>
        <w:t>decentralised and operate</w:t>
      </w:r>
      <w:r w:rsidR="004C1FA9" w:rsidRPr="00E85719">
        <w:rPr>
          <w:sz w:val="22"/>
        </w:rPr>
        <w:t xml:space="preserve"> independently of a central bank</w:t>
      </w:r>
      <w:r w:rsidR="00354587" w:rsidRPr="00E85719">
        <w:rPr>
          <w:sz w:val="22"/>
        </w:rPr>
        <w:t>, using cryptography and a peer to peer network to ensur</w:t>
      </w:r>
      <w:r w:rsidR="00421EC2" w:rsidRPr="00E85719">
        <w:rPr>
          <w:sz w:val="22"/>
        </w:rPr>
        <w:t>e transaction security. Bitcoin is</w:t>
      </w:r>
      <w:r w:rsidR="00354587" w:rsidRPr="00E85719">
        <w:rPr>
          <w:sz w:val="22"/>
        </w:rPr>
        <w:t xml:space="preserve"> the most prominent examples of currency tokens.</w:t>
      </w:r>
    </w:p>
    <w:p w14:paraId="31D7C834" w14:textId="77777777" w:rsidR="003264BB" w:rsidRPr="00E85719" w:rsidRDefault="003264BB" w:rsidP="005F4AAD">
      <w:pPr>
        <w:jc w:val="both"/>
        <w:rPr>
          <w:sz w:val="22"/>
        </w:rPr>
      </w:pPr>
    </w:p>
    <w:p w14:paraId="2E3F078A" w14:textId="02D8B92E" w:rsidR="00633456" w:rsidRPr="00E85719" w:rsidRDefault="00633456" w:rsidP="005F4AAD">
      <w:pPr>
        <w:jc w:val="both"/>
        <w:rPr>
          <w:b/>
          <w:sz w:val="22"/>
          <w:u w:val="single"/>
        </w:rPr>
      </w:pPr>
      <w:r w:rsidRPr="00E85719">
        <w:rPr>
          <w:b/>
          <w:sz w:val="22"/>
          <w:u w:val="single"/>
        </w:rPr>
        <w:t xml:space="preserve">Utility tokens </w:t>
      </w:r>
    </w:p>
    <w:p w14:paraId="70B597D2" w14:textId="77777777" w:rsidR="00B00DB2" w:rsidRPr="00E85719" w:rsidRDefault="00B00DB2" w:rsidP="005F4AAD">
      <w:pPr>
        <w:jc w:val="both"/>
        <w:rPr>
          <w:sz w:val="22"/>
        </w:rPr>
      </w:pPr>
    </w:p>
    <w:p w14:paraId="4AE4CDE9" w14:textId="46BC4E6B" w:rsidR="00B05605" w:rsidRPr="00E85719" w:rsidRDefault="00017761" w:rsidP="005F4AAD">
      <w:pPr>
        <w:jc w:val="both"/>
        <w:rPr>
          <w:sz w:val="22"/>
        </w:rPr>
      </w:pPr>
      <w:r w:rsidRPr="00E85719">
        <w:rPr>
          <w:sz w:val="22"/>
        </w:rPr>
        <w:t xml:space="preserve">Also known as </w:t>
      </w:r>
      <w:r w:rsidR="00E17040" w:rsidRPr="00E85719">
        <w:rPr>
          <w:sz w:val="22"/>
        </w:rPr>
        <w:t xml:space="preserve">user tokens, provide access to a company’s platform, service or product. </w:t>
      </w:r>
      <w:r w:rsidR="00485DD5" w:rsidRPr="00E85719">
        <w:rPr>
          <w:sz w:val="22"/>
        </w:rPr>
        <w:t>Utility tokens are not designed as investments but people purchase utility token ICO’s in the hope that the value of the tokens shall rise as demand for the company’s product increases.</w:t>
      </w:r>
      <w:r w:rsidR="007F3EDD" w:rsidRPr="00E85719">
        <w:rPr>
          <w:sz w:val="22"/>
        </w:rPr>
        <w:t xml:space="preserve"> An example being </w:t>
      </w:r>
      <w:r w:rsidR="005013E4" w:rsidRPr="00E85719">
        <w:rPr>
          <w:sz w:val="22"/>
        </w:rPr>
        <w:t xml:space="preserve">Filecoin which raised a record $257 million to provide a decentralised cloud storage space that takes advantages of unused computer hard drive space. </w:t>
      </w:r>
    </w:p>
    <w:p w14:paraId="475CC166" w14:textId="77777777" w:rsidR="00B05605" w:rsidRPr="00E85719" w:rsidRDefault="00B05605" w:rsidP="005F4AAD">
      <w:pPr>
        <w:jc w:val="both"/>
        <w:rPr>
          <w:sz w:val="22"/>
        </w:rPr>
      </w:pPr>
    </w:p>
    <w:p w14:paraId="7EB2DA85" w14:textId="043D867B" w:rsidR="00B05605" w:rsidRPr="00E85719" w:rsidRDefault="00B05605" w:rsidP="005F4AAD">
      <w:pPr>
        <w:jc w:val="both"/>
        <w:rPr>
          <w:b/>
          <w:sz w:val="22"/>
          <w:u w:val="single"/>
        </w:rPr>
      </w:pPr>
      <w:r w:rsidRPr="00E85719">
        <w:rPr>
          <w:b/>
          <w:sz w:val="22"/>
          <w:u w:val="single"/>
        </w:rPr>
        <w:t>Equity tokens</w:t>
      </w:r>
    </w:p>
    <w:p w14:paraId="64614A2E" w14:textId="77777777" w:rsidR="00D83DBE" w:rsidRPr="00E85719" w:rsidRDefault="00D83DBE" w:rsidP="005F4AAD">
      <w:pPr>
        <w:jc w:val="both"/>
        <w:rPr>
          <w:sz w:val="22"/>
        </w:rPr>
      </w:pPr>
    </w:p>
    <w:p w14:paraId="20ACBDEB" w14:textId="77777777" w:rsidR="002943DF" w:rsidRPr="00E85719" w:rsidRDefault="0066781F" w:rsidP="005F4AAD">
      <w:pPr>
        <w:jc w:val="both"/>
        <w:rPr>
          <w:sz w:val="22"/>
        </w:rPr>
      </w:pPr>
      <w:r w:rsidRPr="00E85719">
        <w:rPr>
          <w:sz w:val="22"/>
        </w:rPr>
        <w:t>Equity tokens represent a share in a company that has completed a token sale. Thus equity tokens are in effect similar to stocks and imply ownership and control and are now deemed as a security</w:t>
      </w:r>
      <w:r w:rsidR="005939BF" w:rsidRPr="00E85719">
        <w:rPr>
          <w:sz w:val="22"/>
        </w:rPr>
        <w:t xml:space="preserve">, falling under </w:t>
      </w:r>
      <w:r w:rsidR="007D02D7" w:rsidRPr="00E85719">
        <w:rPr>
          <w:sz w:val="22"/>
        </w:rPr>
        <w:t xml:space="preserve">the scope of global regulators. </w:t>
      </w:r>
      <w:r w:rsidR="005F2A29" w:rsidRPr="00E85719">
        <w:rPr>
          <w:sz w:val="22"/>
        </w:rPr>
        <w:t>One of its most promising and growing applications It has been widely used by One of its earliest and</w:t>
      </w:r>
      <w:r w:rsidR="00BE0769" w:rsidRPr="00E85719">
        <w:rPr>
          <w:sz w:val="22"/>
        </w:rPr>
        <w:t xml:space="preserve"> most</w:t>
      </w:r>
      <w:r w:rsidR="005F2A29" w:rsidRPr="00E85719">
        <w:rPr>
          <w:sz w:val="22"/>
        </w:rPr>
        <w:t xml:space="preserve"> promising uses has been of Ethereum based smart contracts </w:t>
      </w:r>
      <w:r w:rsidR="00BE0769" w:rsidRPr="00E85719">
        <w:rPr>
          <w:sz w:val="22"/>
        </w:rPr>
        <w:t xml:space="preserve">for start ups to issue “stock” through initial coin offerings. </w:t>
      </w:r>
      <w:r w:rsidR="004F0090" w:rsidRPr="00E85719">
        <w:rPr>
          <w:sz w:val="22"/>
        </w:rPr>
        <w:t xml:space="preserve">With Ethereum based DAO being the first major token Equity token with owners of DAO tokens having control over the running of the organisation. </w:t>
      </w:r>
    </w:p>
    <w:p w14:paraId="4F15487B" w14:textId="77777777" w:rsidR="002943DF" w:rsidRPr="00E85719" w:rsidRDefault="002943DF" w:rsidP="005F4AAD">
      <w:pPr>
        <w:jc w:val="both"/>
        <w:rPr>
          <w:sz w:val="22"/>
        </w:rPr>
      </w:pPr>
    </w:p>
    <w:p w14:paraId="061EAE8C" w14:textId="7E469D10" w:rsidR="00BD28B2" w:rsidRPr="00E85719" w:rsidRDefault="006C52C3" w:rsidP="00BD28B2">
      <w:pPr>
        <w:shd w:val="clear" w:color="auto" w:fill="FFFFFF"/>
        <w:rPr>
          <w:rFonts w:ascii="Arial" w:eastAsia="Times New Roman" w:hAnsi="Arial" w:cs="Arial"/>
          <w:color w:val="222222"/>
          <w:sz w:val="18"/>
          <w:szCs w:val="19"/>
          <w:lang w:eastAsia="en-GB"/>
        </w:rPr>
      </w:pPr>
      <w:r w:rsidRPr="00E85719">
        <w:rPr>
          <w:sz w:val="22"/>
        </w:rPr>
        <w:t xml:space="preserve">Capital Coin is another player entering the market in 2018 that shall disrupt investment banking and change the landscape of fundraising.  </w:t>
      </w:r>
      <w:r w:rsidR="00BD28B2" w:rsidRPr="00E85719">
        <w:rPr>
          <w:sz w:val="22"/>
        </w:rPr>
        <w:t>By introducing equity tokens to a broad array of industries and companies – that have no relation to Blockchain – Capital Coin will provide companies the convenience, ease and instant worldwide access to the global investor base that ICOs today enjoy. Capital Coin shall allow companies to conduct IPOs on a token platform but rather than giving tokens, enable companies to give equity/ shares.</w:t>
      </w:r>
      <w:r w:rsidR="006930F4" w:rsidRPr="00E85719">
        <w:rPr>
          <w:sz w:val="22"/>
        </w:rPr>
        <w:t xml:space="preserve"> This is a game changer as a broad spectrum of companies considering fundraising could now use the newly invented and hugely successful method of ICOs. Thus bypassing traditional funding models such as VCs, IPO through investment bank</w:t>
      </w:r>
      <w:r w:rsidR="002107D3" w:rsidRPr="00E85719">
        <w:rPr>
          <w:sz w:val="22"/>
        </w:rPr>
        <w:t>s in exchange issuing tokens representing shares directly to the public.</w:t>
      </w:r>
    </w:p>
    <w:p w14:paraId="23B664CC" w14:textId="77777777" w:rsidR="00C42C85" w:rsidRDefault="00C42C85" w:rsidP="005F4AAD">
      <w:pPr>
        <w:jc w:val="both"/>
      </w:pPr>
    </w:p>
    <w:p w14:paraId="2745A6D9" w14:textId="5177184B" w:rsidR="00C42C85" w:rsidRPr="00E85719" w:rsidRDefault="00C42C85" w:rsidP="005F4AAD">
      <w:pPr>
        <w:jc w:val="both"/>
        <w:rPr>
          <w:b/>
          <w:sz w:val="22"/>
          <w:u w:val="single"/>
        </w:rPr>
      </w:pPr>
      <w:r w:rsidRPr="00E85719">
        <w:rPr>
          <w:b/>
          <w:sz w:val="22"/>
          <w:u w:val="single"/>
        </w:rPr>
        <w:t>Asset tokens</w:t>
      </w:r>
    </w:p>
    <w:p w14:paraId="16A32DC0" w14:textId="77777777" w:rsidR="00E37CCA" w:rsidRPr="00E85719" w:rsidRDefault="00E37CCA" w:rsidP="005F4AAD">
      <w:pPr>
        <w:jc w:val="both"/>
        <w:rPr>
          <w:sz w:val="22"/>
        </w:rPr>
      </w:pPr>
    </w:p>
    <w:p w14:paraId="361EAA46" w14:textId="5E5A194D" w:rsidR="00C42C85" w:rsidRPr="00E85719" w:rsidRDefault="003C7AAE" w:rsidP="005F4AAD">
      <w:pPr>
        <w:jc w:val="both"/>
        <w:rPr>
          <w:sz w:val="22"/>
        </w:rPr>
      </w:pPr>
      <w:r w:rsidRPr="00E85719">
        <w:rPr>
          <w:sz w:val="22"/>
        </w:rPr>
        <w:t xml:space="preserve">They are digital tokens that represent a physical asset or product. </w:t>
      </w:r>
      <w:r w:rsidR="0097593F" w:rsidRPr="00E85719">
        <w:rPr>
          <w:sz w:val="22"/>
        </w:rPr>
        <w:t xml:space="preserve">Asset tokens are one of the largest areas of growth because they </w:t>
      </w:r>
      <w:r w:rsidR="00425624" w:rsidRPr="00E85719">
        <w:rPr>
          <w:sz w:val="22"/>
        </w:rPr>
        <w:t>support</w:t>
      </w:r>
      <w:r w:rsidR="0097593F" w:rsidRPr="00E85719">
        <w:rPr>
          <w:sz w:val="22"/>
        </w:rPr>
        <w:t xml:space="preserve"> </w:t>
      </w:r>
      <w:r w:rsidR="00425624" w:rsidRPr="00E85719">
        <w:rPr>
          <w:sz w:val="22"/>
        </w:rPr>
        <w:t xml:space="preserve">real distributed, peer to peer ecosystems on the Blockchain. </w:t>
      </w:r>
      <w:r w:rsidR="006B2D61" w:rsidRPr="00E85719">
        <w:rPr>
          <w:sz w:val="22"/>
        </w:rPr>
        <w:t>However</w:t>
      </w:r>
      <w:r w:rsidR="00524551" w:rsidRPr="00E85719">
        <w:rPr>
          <w:sz w:val="22"/>
        </w:rPr>
        <w:t>,</w:t>
      </w:r>
      <w:r w:rsidR="006B2D61" w:rsidRPr="00E85719">
        <w:rPr>
          <w:sz w:val="22"/>
        </w:rPr>
        <w:t xml:space="preserve"> they may not be as popular amongst investors </w:t>
      </w:r>
      <w:r w:rsidR="00F27FDC" w:rsidRPr="00E85719">
        <w:rPr>
          <w:sz w:val="22"/>
        </w:rPr>
        <w:t xml:space="preserve">because the value of the tokens doesn’t usually exceed the value of the asset and thus has less upside potential than other types of tokens. </w:t>
      </w:r>
      <w:r w:rsidR="00587928" w:rsidRPr="00E85719">
        <w:rPr>
          <w:sz w:val="22"/>
        </w:rPr>
        <w:t xml:space="preserve">These tokens are starting to gain traction with a start up project called </w:t>
      </w:r>
      <w:proofErr w:type="spellStart"/>
      <w:r w:rsidR="00587928" w:rsidRPr="00E85719">
        <w:rPr>
          <w:sz w:val="22"/>
        </w:rPr>
        <w:t>Goldmint</w:t>
      </w:r>
      <w:proofErr w:type="spellEnd"/>
      <w:r w:rsidR="00587928" w:rsidRPr="00E85719">
        <w:rPr>
          <w:sz w:val="22"/>
        </w:rPr>
        <w:t xml:space="preserve"> which is digitizing and tokenizing physical gold holdings, allowing investors to purchase difficult to store physical assets such as gold online.</w:t>
      </w:r>
    </w:p>
    <w:p w14:paraId="1765652C" w14:textId="77777777" w:rsidR="00312333" w:rsidRDefault="00312333" w:rsidP="005F4AAD">
      <w:pPr>
        <w:jc w:val="both"/>
      </w:pPr>
    </w:p>
    <w:p w14:paraId="7681A940" w14:textId="77777777" w:rsidR="00E26365" w:rsidRDefault="00E26365" w:rsidP="005F4AAD">
      <w:pPr>
        <w:jc w:val="both"/>
      </w:pPr>
    </w:p>
    <w:p w14:paraId="0B982134" w14:textId="074AF78E" w:rsidR="002107D3" w:rsidRPr="0058621F" w:rsidRDefault="0058621F" w:rsidP="0058621F">
      <w:pPr>
        <w:rPr>
          <w:rFonts w:eastAsia="Times New Roman" w:cs="Times New Roman"/>
          <w:sz w:val="22"/>
          <w:szCs w:val="22"/>
          <w:lang w:eastAsia="en-GB"/>
        </w:rPr>
      </w:pPr>
      <w:r w:rsidRPr="0058621F">
        <w:rPr>
          <w:rFonts w:eastAsia="Times New Roman" w:cs="Arial"/>
          <w:color w:val="222222"/>
          <w:sz w:val="22"/>
          <w:szCs w:val="22"/>
          <w:shd w:val="clear" w:color="auto" w:fill="FFFFFF"/>
          <w:lang w:eastAsia="en-GB"/>
        </w:rPr>
        <w:t>Arifa Khan is a crypto pioneer who first conceptualised the idea of taking Blockchain to mainstream securities industry and elaborated this idea in a July 2017 white paper. </w:t>
      </w:r>
      <w:r w:rsidRPr="0058621F">
        <w:rPr>
          <w:sz w:val="22"/>
          <w:szCs w:val="22"/>
        </w:rPr>
        <w:t>She is behind</w:t>
      </w:r>
      <w:r w:rsidR="00E26365" w:rsidRPr="0058621F">
        <w:rPr>
          <w:sz w:val="22"/>
          <w:szCs w:val="22"/>
        </w:rPr>
        <w:t xml:space="preserve"> this initiative of </w:t>
      </w:r>
      <w:r w:rsidR="00AD0FEB" w:rsidRPr="0058621F">
        <w:rPr>
          <w:sz w:val="22"/>
          <w:szCs w:val="22"/>
        </w:rPr>
        <w:t>disrupting the Private Equity and Asset Management</w:t>
      </w:r>
      <w:r w:rsidR="00FA440F" w:rsidRPr="0058621F">
        <w:rPr>
          <w:sz w:val="22"/>
          <w:szCs w:val="22"/>
        </w:rPr>
        <w:t xml:space="preserve"> market and building</w:t>
      </w:r>
      <w:r w:rsidR="002107D3" w:rsidRPr="0058621F">
        <w:rPr>
          <w:sz w:val="22"/>
          <w:szCs w:val="22"/>
        </w:rPr>
        <w:t xml:space="preserve"> Capital Coin. </w:t>
      </w:r>
      <w:r w:rsidR="00E85719" w:rsidRPr="0058621F">
        <w:rPr>
          <w:sz w:val="22"/>
          <w:szCs w:val="22"/>
        </w:rPr>
        <w:t xml:space="preserve">By creating a platform where investors and seekers of capital shall be able to interact and trade freely with minimum friction. </w:t>
      </w:r>
      <w:r w:rsidR="00164C57" w:rsidRPr="0058621F">
        <w:rPr>
          <w:sz w:val="22"/>
          <w:szCs w:val="22"/>
        </w:rPr>
        <w:t xml:space="preserve"> Building a</w:t>
      </w:r>
      <w:r w:rsidR="00FA440F" w:rsidRPr="0058621F">
        <w:rPr>
          <w:sz w:val="22"/>
          <w:szCs w:val="22"/>
        </w:rPr>
        <w:t xml:space="preserve"> platform that shall</w:t>
      </w:r>
      <w:r w:rsidR="002107D3" w:rsidRPr="0058621F">
        <w:rPr>
          <w:sz w:val="22"/>
          <w:szCs w:val="22"/>
        </w:rPr>
        <w:t xml:space="preserve"> enable businesses globally to raise funds for operations directly and in a more efficient manner whilst cutting the exorbitant fees associated with IPO’s and investment banks. </w:t>
      </w:r>
    </w:p>
    <w:p w14:paraId="6746F735" w14:textId="5B911833" w:rsidR="00E26365" w:rsidRPr="0058621F" w:rsidRDefault="00E26365" w:rsidP="005F4AAD">
      <w:pPr>
        <w:jc w:val="both"/>
        <w:rPr>
          <w:sz w:val="22"/>
          <w:szCs w:val="22"/>
        </w:rPr>
      </w:pPr>
      <w:bookmarkStart w:id="0" w:name="_GoBack"/>
      <w:bookmarkEnd w:id="0"/>
    </w:p>
    <w:sectPr w:rsidR="00E26365" w:rsidRPr="0058621F" w:rsidSect="00EE22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697"/>
    <w:rsid w:val="00017761"/>
    <w:rsid w:val="00024F55"/>
    <w:rsid w:val="000339A9"/>
    <w:rsid w:val="00076C1B"/>
    <w:rsid w:val="000A7CD8"/>
    <w:rsid w:val="000B5C10"/>
    <w:rsid w:val="00112AF3"/>
    <w:rsid w:val="0013640A"/>
    <w:rsid w:val="0016213C"/>
    <w:rsid w:val="00164C57"/>
    <w:rsid w:val="001B3A4F"/>
    <w:rsid w:val="001C1A53"/>
    <w:rsid w:val="001E3C82"/>
    <w:rsid w:val="002107D3"/>
    <w:rsid w:val="00212AAC"/>
    <w:rsid w:val="00225697"/>
    <w:rsid w:val="00252D01"/>
    <w:rsid w:val="00253B89"/>
    <w:rsid w:val="00255BD7"/>
    <w:rsid w:val="002943DF"/>
    <w:rsid w:val="002C7775"/>
    <w:rsid w:val="0031139F"/>
    <w:rsid w:val="00312333"/>
    <w:rsid w:val="003264BB"/>
    <w:rsid w:val="00354587"/>
    <w:rsid w:val="00356A0D"/>
    <w:rsid w:val="00374A6C"/>
    <w:rsid w:val="003C3034"/>
    <w:rsid w:val="003C42D5"/>
    <w:rsid w:val="003C7AAE"/>
    <w:rsid w:val="00417087"/>
    <w:rsid w:val="00421EC2"/>
    <w:rsid w:val="00425624"/>
    <w:rsid w:val="00446815"/>
    <w:rsid w:val="00463E50"/>
    <w:rsid w:val="004834BE"/>
    <w:rsid w:val="00485DD5"/>
    <w:rsid w:val="00493B30"/>
    <w:rsid w:val="004C1FA9"/>
    <w:rsid w:val="004F0090"/>
    <w:rsid w:val="005013E4"/>
    <w:rsid w:val="00501609"/>
    <w:rsid w:val="00524551"/>
    <w:rsid w:val="00575467"/>
    <w:rsid w:val="0058621F"/>
    <w:rsid w:val="00586633"/>
    <w:rsid w:val="00587928"/>
    <w:rsid w:val="005939BF"/>
    <w:rsid w:val="005E71AF"/>
    <w:rsid w:val="005F2A29"/>
    <w:rsid w:val="005F4AAD"/>
    <w:rsid w:val="00633456"/>
    <w:rsid w:val="00652302"/>
    <w:rsid w:val="0066781F"/>
    <w:rsid w:val="006930F4"/>
    <w:rsid w:val="006A4335"/>
    <w:rsid w:val="006B2D61"/>
    <w:rsid w:val="006C52C3"/>
    <w:rsid w:val="007C7252"/>
    <w:rsid w:val="007D02D7"/>
    <w:rsid w:val="007F3EDD"/>
    <w:rsid w:val="00802DC9"/>
    <w:rsid w:val="0087177C"/>
    <w:rsid w:val="00880369"/>
    <w:rsid w:val="008E3CD1"/>
    <w:rsid w:val="008F062C"/>
    <w:rsid w:val="009046C3"/>
    <w:rsid w:val="0097593F"/>
    <w:rsid w:val="009A4C19"/>
    <w:rsid w:val="009F0F9D"/>
    <w:rsid w:val="00A534BB"/>
    <w:rsid w:val="00A61B25"/>
    <w:rsid w:val="00A734F7"/>
    <w:rsid w:val="00A83A05"/>
    <w:rsid w:val="00A84334"/>
    <w:rsid w:val="00AC0205"/>
    <w:rsid w:val="00AD0FEB"/>
    <w:rsid w:val="00AE3DEB"/>
    <w:rsid w:val="00B00DB2"/>
    <w:rsid w:val="00B05605"/>
    <w:rsid w:val="00B3045A"/>
    <w:rsid w:val="00B44552"/>
    <w:rsid w:val="00B75933"/>
    <w:rsid w:val="00B96EB8"/>
    <w:rsid w:val="00BB1440"/>
    <w:rsid w:val="00BD28B2"/>
    <w:rsid w:val="00BE0769"/>
    <w:rsid w:val="00C42C85"/>
    <w:rsid w:val="00C6450A"/>
    <w:rsid w:val="00C730F1"/>
    <w:rsid w:val="00CA1213"/>
    <w:rsid w:val="00CC1ABC"/>
    <w:rsid w:val="00CC6215"/>
    <w:rsid w:val="00CD3D4C"/>
    <w:rsid w:val="00D33682"/>
    <w:rsid w:val="00D42C8F"/>
    <w:rsid w:val="00D470ED"/>
    <w:rsid w:val="00D83DBE"/>
    <w:rsid w:val="00DC5038"/>
    <w:rsid w:val="00DD240B"/>
    <w:rsid w:val="00DD3571"/>
    <w:rsid w:val="00DE3180"/>
    <w:rsid w:val="00DF20E8"/>
    <w:rsid w:val="00E02A9B"/>
    <w:rsid w:val="00E17040"/>
    <w:rsid w:val="00E26365"/>
    <w:rsid w:val="00E37CCA"/>
    <w:rsid w:val="00E42B86"/>
    <w:rsid w:val="00E53F87"/>
    <w:rsid w:val="00E85719"/>
    <w:rsid w:val="00EE2218"/>
    <w:rsid w:val="00F27FDC"/>
    <w:rsid w:val="00FA4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9FA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B75933"/>
    <w:pPr>
      <w:spacing w:before="100" w:beforeAutospacing="1" w:after="100" w:afterAutospacing="1"/>
    </w:pPr>
    <w:rPr>
      <w:rFonts w:ascii="Times New Roman" w:hAnsi="Times New Roman" w:cs="Times New Roman"/>
      <w:lang w:eastAsia="en-GB"/>
    </w:rPr>
  </w:style>
  <w:style w:type="paragraph" w:styleId="NormalWeb">
    <w:name w:val="Normal (Web)"/>
    <w:basedOn w:val="Normal"/>
    <w:uiPriority w:val="99"/>
    <w:semiHidden/>
    <w:unhideWhenUsed/>
    <w:rsid w:val="00485DD5"/>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semiHidden/>
    <w:unhideWhenUsed/>
    <w:rsid w:val="00587928"/>
    <w:rPr>
      <w:color w:val="0000FF"/>
      <w:u w:val="single"/>
    </w:rPr>
  </w:style>
  <w:style w:type="table" w:styleId="TableGrid">
    <w:name w:val="Table Grid"/>
    <w:basedOn w:val="TableNormal"/>
    <w:uiPriority w:val="39"/>
    <w:rsid w:val="00DF20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DF20E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20E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20E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F20E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20E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F20E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20E8"/>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20E8"/>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20E8"/>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20E8"/>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DF20E8"/>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20E8"/>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20E8"/>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DF20E8"/>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DF20E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1">
    <w:name w:val="Grid Table 6 Colorful Accent 1"/>
    <w:basedOn w:val="TableNormal"/>
    <w:uiPriority w:val="51"/>
    <w:rsid w:val="00DF20E8"/>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DF20E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DF20E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DF20E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DF20E8"/>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6327">
      <w:bodyDiv w:val="1"/>
      <w:marLeft w:val="0"/>
      <w:marRight w:val="0"/>
      <w:marTop w:val="0"/>
      <w:marBottom w:val="0"/>
      <w:divBdr>
        <w:top w:val="none" w:sz="0" w:space="0" w:color="auto"/>
        <w:left w:val="none" w:sz="0" w:space="0" w:color="auto"/>
        <w:bottom w:val="none" w:sz="0" w:space="0" w:color="auto"/>
        <w:right w:val="none" w:sz="0" w:space="0" w:color="auto"/>
      </w:divBdr>
    </w:div>
    <w:div w:id="54668832">
      <w:bodyDiv w:val="1"/>
      <w:marLeft w:val="0"/>
      <w:marRight w:val="0"/>
      <w:marTop w:val="0"/>
      <w:marBottom w:val="0"/>
      <w:divBdr>
        <w:top w:val="none" w:sz="0" w:space="0" w:color="auto"/>
        <w:left w:val="none" w:sz="0" w:space="0" w:color="auto"/>
        <w:bottom w:val="none" w:sz="0" w:space="0" w:color="auto"/>
        <w:right w:val="none" w:sz="0" w:space="0" w:color="auto"/>
      </w:divBdr>
    </w:div>
    <w:div w:id="64114562">
      <w:bodyDiv w:val="1"/>
      <w:marLeft w:val="0"/>
      <w:marRight w:val="0"/>
      <w:marTop w:val="0"/>
      <w:marBottom w:val="0"/>
      <w:divBdr>
        <w:top w:val="none" w:sz="0" w:space="0" w:color="auto"/>
        <w:left w:val="none" w:sz="0" w:space="0" w:color="auto"/>
        <w:bottom w:val="none" w:sz="0" w:space="0" w:color="auto"/>
        <w:right w:val="none" w:sz="0" w:space="0" w:color="auto"/>
      </w:divBdr>
    </w:div>
    <w:div w:id="315770244">
      <w:bodyDiv w:val="1"/>
      <w:marLeft w:val="0"/>
      <w:marRight w:val="0"/>
      <w:marTop w:val="0"/>
      <w:marBottom w:val="0"/>
      <w:divBdr>
        <w:top w:val="none" w:sz="0" w:space="0" w:color="auto"/>
        <w:left w:val="none" w:sz="0" w:space="0" w:color="auto"/>
        <w:bottom w:val="none" w:sz="0" w:space="0" w:color="auto"/>
        <w:right w:val="none" w:sz="0" w:space="0" w:color="auto"/>
      </w:divBdr>
    </w:div>
    <w:div w:id="410587486">
      <w:bodyDiv w:val="1"/>
      <w:marLeft w:val="0"/>
      <w:marRight w:val="0"/>
      <w:marTop w:val="0"/>
      <w:marBottom w:val="0"/>
      <w:divBdr>
        <w:top w:val="none" w:sz="0" w:space="0" w:color="auto"/>
        <w:left w:val="none" w:sz="0" w:space="0" w:color="auto"/>
        <w:bottom w:val="none" w:sz="0" w:space="0" w:color="auto"/>
        <w:right w:val="none" w:sz="0" w:space="0" w:color="auto"/>
      </w:divBdr>
    </w:div>
    <w:div w:id="510992634">
      <w:bodyDiv w:val="1"/>
      <w:marLeft w:val="0"/>
      <w:marRight w:val="0"/>
      <w:marTop w:val="0"/>
      <w:marBottom w:val="0"/>
      <w:divBdr>
        <w:top w:val="none" w:sz="0" w:space="0" w:color="auto"/>
        <w:left w:val="none" w:sz="0" w:space="0" w:color="auto"/>
        <w:bottom w:val="none" w:sz="0" w:space="0" w:color="auto"/>
        <w:right w:val="none" w:sz="0" w:space="0" w:color="auto"/>
      </w:divBdr>
    </w:div>
    <w:div w:id="519322737">
      <w:bodyDiv w:val="1"/>
      <w:marLeft w:val="0"/>
      <w:marRight w:val="0"/>
      <w:marTop w:val="0"/>
      <w:marBottom w:val="0"/>
      <w:divBdr>
        <w:top w:val="none" w:sz="0" w:space="0" w:color="auto"/>
        <w:left w:val="none" w:sz="0" w:space="0" w:color="auto"/>
        <w:bottom w:val="none" w:sz="0" w:space="0" w:color="auto"/>
        <w:right w:val="none" w:sz="0" w:space="0" w:color="auto"/>
      </w:divBdr>
    </w:div>
    <w:div w:id="586042846">
      <w:bodyDiv w:val="1"/>
      <w:marLeft w:val="0"/>
      <w:marRight w:val="0"/>
      <w:marTop w:val="0"/>
      <w:marBottom w:val="0"/>
      <w:divBdr>
        <w:top w:val="none" w:sz="0" w:space="0" w:color="auto"/>
        <w:left w:val="none" w:sz="0" w:space="0" w:color="auto"/>
        <w:bottom w:val="none" w:sz="0" w:space="0" w:color="auto"/>
        <w:right w:val="none" w:sz="0" w:space="0" w:color="auto"/>
      </w:divBdr>
    </w:div>
    <w:div w:id="770777636">
      <w:bodyDiv w:val="1"/>
      <w:marLeft w:val="0"/>
      <w:marRight w:val="0"/>
      <w:marTop w:val="0"/>
      <w:marBottom w:val="0"/>
      <w:divBdr>
        <w:top w:val="none" w:sz="0" w:space="0" w:color="auto"/>
        <w:left w:val="none" w:sz="0" w:space="0" w:color="auto"/>
        <w:bottom w:val="none" w:sz="0" w:space="0" w:color="auto"/>
        <w:right w:val="none" w:sz="0" w:space="0" w:color="auto"/>
      </w:divBdr>
    </w:div>
    <w:div w:id="1206408011">
      <w:bodyDiv w:val="1"/>
      <w:marLeft w:val="0"/>
      <w:marRight w:val="0"/>
      <w:marTop w:val="0"/>
      <w:marBottom w:val="0"/>
      <w:divBdr>
        <w:top w:val="none" w:sz="0" w:space="0" w:color="auto"/>
        <w:left w:val="none" w:sz="0" w:space="0" w:color="auto"/>
        <w:bottom w:val="none" w:sz="0" w:space="0" w:color="auto"/>
        <w:right w:val="none" w:sz="0" w:space="0" w:color="auto"/>
      </w:divBdr>
    </w:div>
    <w:div w:id="1226180006">
      <w:bodyDiv w:val="1"/>
      <w:marLeft w:val="0"/>
      <w:marRight w:val="0"/>
      <w:marTop w:val="0"/>
      <w:marBottom w:val="0"/>
      <w:divBdr>
        <w:top w:val="none" w:sz="0" w:space="0" w:color="auto"/>
        <w:left w:val="none" w:sz="0" w:space="0" w:color="auto"/>
        <w:bottom w:val="none" w:sz="0" w:space="0" w:color="auto"/>
        <w:right w:val="none" w:sz="0" w:space="0" w:color="auto"/>
      </w:divBdr>
      <w:divsChild>
        <w:div w:id="164380200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376853018">
      <w:bodyDiv w:val="1"/>
      <w:marLeft w:val="0"/>
      <w:marRight w:val="0"/>
      <w:marTop w:val="0"/>
      <w:marBottom w:val="0"/>
      <w:divBdr>
        <w:top w:val="none" w:sz="0" w:space="0" w:color="auto"/>
        <w:left w:val="none" w:sz="0" w:space="0" w:color="auto"/>
        <w:bottom w:val="none" w:sz="0" w:space="0" w:color="auto"/>
        <w:right w:val="none" w:sz="0" w:space="0" w:color="auto"/>
      </w:divBdr>
      <w:divsChild>
        <w:div w:id="1018432638">
          <w:marLeft w:val="0"/>
          <w:marRight w:val="0"/>
          <w:marTop w:val="0"/>
          <w:marBottom w:val="0"/>
          <w:divBdr>
            <w:top w:val="none" w:sz="0" w:space="0" w:color="auto"/>
            <w:left w:val="none" w:sz="0" w:space="0" w:color="auto"/>
            <w:bottom w:val="none" w:sz="0" w:space="0" w:color="auto"/>
            <w:right w:val="none" w:sz="0" w:space="0" w:color="auto"/>
          </w:divBdr>
        </w:div>
      </w:divsChild>
    </w:div>
    <w:div w:id="1393577334">
      <w:bodyDiv w:val="1"/>
      <w:marLeft w:val="0"/>
      <w:marRight w:val="0"/>
      <w:marTop w:val="0"/>
      <w:marBottom w:val="0"/>
      <w:divBdr>
        <w:top w:val="none" w:sz="0" w:space="0" w:color="auto"/>
        <w:left w:val="none" w:sz="0" w:space="0" w:color="auto"/>
        <w:bottom w:val="none" w:sz="0" w:space="0" w:color="auto"/>
        <w:right w:val="none" w:sz="0" w:space="0" w:color="auto"/>
      </w:divBdr>
    </w:div>
    <w:div w:id="1447038630">
      <w:bodyDiv w:val="1"/>
      <w:marLeft w:val="0"/>
      <w:marRight w:val="0"/>
      <w:marTop w:val="0"/>
      <w:marBottom w:val="0"/>
      <w:divBdr>
        <w:top w:val="none" w:sz="0" w:space="0" w:color="auto"/>
        <w:left w:val="none" w:sz="0" w:space="0" w:color="auto"/>
        <w:bottom w:val="none" w:sz="0" w:space="0" w:color="auto"/>
        <w:right w:val="none" w:sz="0" w:space="0" w:color="auto"/>
      </w:divBdr>
    </w:div>
    <w:div w:id="18421562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807</Words>
  <Characters>4602</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2017-12-18T18:55:00Z</dcterms:created>
  <dcterms:modified xsi:type="dcterms:W3CDTF">2017-12-20T16:36:00Z</dcterms:modified>
</cp:coreProperties>
</file>