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rFonts w:ascii="Roboto" w:cs="Roboto" w:eastAsia="Roboto" w:hAnsi="Roboto"/>
                <w:color w:val="0d0d0d"/>
                <w:sz w:val="24"/>
                <w:szCs w:val="24"/>
                <w:highlight w:val="white"/>
                <w:rtl w:val="0"/>
              </w:rPr>
              <w:t xml:space="preserve">Security events are possible considering the risks facing the bank's funds in this operating environment. For instance, a business email compromise could lead to unauthorized access to sensitive financial information, especially with many individuals handling data both on-premise and remotely. Compromised user databases pose a risk due to potential insider threats or external breaches. Financial records leaks could occur due to inadequate data protection measures. Theft, whether physical or digital, is a risk given the bank's physical presence and digital transactions. Supply chain attacks, while less frequent, could result from disruptions due to natural disasters like hurricanes.</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