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6400800" cy="1063625"/>
            <wp:effectExtent b="0" l="0" r="0" t="0"/>
            <wp:docPr id="1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Arial" w:cs="Arial" w:eastAsia="Arial" w:hAnsi="Arial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Arial" w:cs="Arial" w:eastAsia="Arial" w:hAnsi="Arial"/>
          <w:b w:val="1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b w:val="1"/>
          <w:sz w:val="60"/>
          <w:szCs w:val="60"/>
          <w:rtl w:val="0"/>
        </w:rPr>
        <w:t xml:space="preserve">ARQUITECTURA DEL SISTEMA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Arial" w:cs="Arial" w:eastAsia="Arial" w:hAnsi="Arial"/>
          <w:sz w:val="58"/>
          <w:szCs w:val="58"/>
        </w:rPr>
      </w:pPr>
      <w:r w:rsidDel="00000000" w:rsidR="00000000" w:rsidRPr="00000000">
        <w:rPr>
          <w:rFonts w:ascii="Arial" w:cs="Arial" w:eastAsia="Arial" w:hAnsi="Arial"/>
          <w:sz w:val="58"/>
          <w:szCs w:val="58"/>
          <w:rtl w:val="0"/>
        </w:rPr>
        <w:t xml:space="preserve">Sistema de Gestión para Juntas de Vecinos – Unidad Territorial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qiaug9aed73y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Elaborado por: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Nombres Estudiantes:</w:t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Nicolas Lizama</w:t>
      </w:r>
    </w:p>
    <w:p w:rsidR="00000000" w:rsidDel="00000000" w:rsidP="00000000" w:rsidRDefault="00000000" w:rsidRPr="00000000" w14:paraId="00000016">
      <w:pPr>
        <w:ind w:left="1440" w:firstLine="72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  <w:tab/>
        <w:t xml:space="preserve">Vincenzo Orellana</w:t>
      </w:r>
    </w:p>
    <w:p w:rsidR="00000000" w:rsidDel="00000000" w:rsidP="00000000" w:rsidRDefault="00000000" w:rsidRPr="00000000" w14:paraId="00000017">
      <w:pPr>
        <w:spacing w:line="276" w:lineRule="auto"/>
        <w:ind w:left="216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  <w:tab/>
        <w:t xml:space="preserve">Daniel Reyes</w:t>
      </w:r>
    </w:p>
    <w:p w:rsidR="00000000" w:rsidDel="00000000" w:rsidP="00000000" w:rsidRDefault="00000000" w:rsidRPr="00000000" w14:paraId="00000018">
      <w:pPr>
        <w:spacing w:before="24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Profesor guía: </w:t>
        <w:tab/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Jorge Guzmán</w:t>
      </w:r>
    </w:p>
    <w:p w:rsidR="00000000" w:rsidDel="00000000" w:rsidP="00000000" w:rsidRDefault="00000000" w:rsidRPr="00000000" w14:paraId="00000019">
      <w:pPr>
        <w:spacing w:after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Fecha: </w:t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28 / 09 /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120" w:before="280" w:line="276" w:lineRule="auto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w9kent1k1ca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numPr>
          <w:ilvl w:val="0"/>
          <w:numId w:val="5"/>
        </w:numPr>
        <w:spacing w:after="120" w:before="280" w:line="276" w:lineRule="auto"/>
        <w:ind w:left="720" w:hanging="360"/>
        <w:jc w:val="both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Objetivo de la Arquitectura del Sistema</w:t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objetivo de la arquitectura del sistema es definir, estructurar y documentar los componentes técnicos, sus interrelaciones y las tecnologías utilizadas, garantizando que el sistema cumpla con los requerimientos funcionales y no funcionales establecidos, tales como escalabilidad, seguridad, mantenibilidad y rendimiento.</w:t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arquitectura busca proporcionar una base sólida y modular que facilite el desarrollo, despliegue y evolución del sistema, asegurando su replicabilidad en distintas comunidades o juntas vecinales, sin comprometer la integridad de los datos ni la independencia operativa de cada entidad.</w:t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través de una estructura orientada a servicios y una separación clara entre frontend, backend y base de datos, la arquitectura del sistema busca:</w:t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Optimizar la comunicación entre módulos.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Asegurar la consistencia y trazabilidad de la información.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Permitir la integración futura con servicios externos (por ejemplo, sistemas de pago o notificaciones).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Facilitar la incorporación de nuevas funcionalidades sin alterar la estabilidad del sistema existente.</w:t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resumen, la arquitectura del sistema tiene como objetivo garantizar un diseño técnico coherente, eficiente y escalable, que soporte las necesidades actuales del proyecto y siente las bases para su crecimiento tecnológico y funcional a largo plazo.</w:t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bookmarkStart w:colFirst="0" w:colLast="0" w:name="_heading=h.jqfbxlnsdq4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numPr>
          <w:ilvl w:val="0"/>
          <w:numId w:val="5"/>
        </w:numPr>
        <w:spacing w:after="120" w:before="280" w:line="276" w:lineRule="auto"/>
        <w:ind w:left="720" w:hanging="360"/>
        <w:jc w:val="both"/>
        <w:rPr>
          <w:rFonts w:ascii="Arial" w:cs="Arial" w:eastAsia="Arial" w:hAnsi="Arial"/>
          <w:sz w:val="30"/>
          <w:szCs w:val="30"/>
        </w:rPr>
      </w:pPr>
      <w:bookmarkStart w:colFirst="0" w:colLast="0" w:name="_heading=h.kh1f2ar7lucs" w:id="3"/>
      <w:bookmarkEnd w:id="3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Alcance de la Arquitectura del Sistema</w:t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alcance de la arquitectura del sistema comprende el diseño, definición e integración de los componentes tecnológicos que permiten el funcionamiento completo de la plataforma Sistema Territorial, abarcando tanto la capa de presentación (frontend), la capa lógica de negocio (backend) y la capa de persistencia de datos (base de datos).</w:t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arquitectura establece los lineamientos técnicos para:</w:t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Estructurar el sistema de forma modular y escalable, permitiendo la incorporación de nuevos módulos o funcionalidades sin afectar los componentes existentes.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Definir las interacciones entre los subsistemas principales, como la gestión de usuarios, emisión de certificados, administración de reservas de espacios, publicación de noticias y comunicación interna de los vecinos.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Garantizar la interoperabilidad con servicios externos, tales como sistemas de autenticación (OAuth), notificaciones por correo electrónico y posibles integraciones con plataformas de pago o geolocalización.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Asegurar la integridad, disponibilidad y confidencialidad de la información, aplicando mecanismos de seguridad, control de acceso por roles y auditoría de eventos.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Optimizar el rendimiento y la mantenibilidad del sistema mediante el uso de buenas prácticas en el desarrollo, arquitectura limpia y separación de responsabilidades.</w:t>
      </w:r>
    </w:p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alcance no considera dentro de esta fase:</w:t>
      </w:r>
    </w:p>
    <w:p w:rsidR="00000000" w:rsidDel="00000000" w:rsidP="00000000" w:rsidRDefault="00000000" w:rsidRPr="00000000" w14:paraId="0000004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diseño detallado de flujos de usuario o diagramas BPMN.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configuración de infraestructura física o despliegue en entornos productivos.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implementación de integraciones externas no contempladas en la versión inicial del proyecto (por ejemplo, pasarelas de pago o APIs municipales avanzadas).</w:t>
      </w:r>
    </w:p>
    <w:p w:rsidR="00000000" w:rsidDel="00000000" w:rsidP="00000000" w:rsidRDefault="00000000" w:rsidRPr="00000000" w14:paraId="0000004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síntesis, la arquitectura del sistema abarca todos los componentes técnicos, módulos y servicios que sustentan el funcionamiento integral de Sistema Territorial, definiendo su estructura, comunicación y lineamientos para su implementación, crecimiento y mantenimiento futuro.</w:t>
      </w:r>
    </w:p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numPr>
          <w:ilvl w:val="0"/>
          <w:numId w:val="5"/>
        </w:numPr>
        <w:spacing w:after="120" w:before="280" w:line="276" w:lineRule="auto"/>
        <w:ind w:left="720" w:hanging="360"/>
        <w:jc w:val="both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Explicación de la Arquitectura del Sistema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arquitectura del sistema Territorial se basa en una estructura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multicapa (n-tier)</w:t>
      </w:r>
      <w:r w:rsidDel="00000000" w:rsidR="00000000" w:rsidRPr="00000000">
        <w:rPr>
          <w:rFonts w:ascii="Arial" w:cs="Arial" w:eastAsia="Arial" w:hAnsi="Arial"/>
          <w:rtl w:val="0"/>
        </w:rPr>
        <w:t xml:space="preserve">, diseñada para garantizar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modularidad, escalabilidad y mantenibilidad</w:t>
      </w:r>
      <w:r w:rsidDel="00000000" w:rsidR="00000000" w:rsidRPr="00000000">
        <w:rPr>
          <w:rFonts w:ascii="Arial" w:cs="Arial" w:eastAsia="Arial" w:hAnsi="Arial"/>
          <w:rtl w:val="0"/>
        </w:rPr>
        <w:t xml:space="preserve"> a lo largo de todo su ciclo de vida. Esta arquitectura separa las responsabilidades en capas claramente definidas: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presentación, lógica de negocio y datos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permitiendo el desarrollo independiente de cada componente, su actualización y la futura integración con servicios externos.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capa de presentación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, se utiliza un entorno web responsivo desarrollado con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Angular</w:t>
      </w:r>
      <w:r w:rsidDel="00000000" w:rsidR="00000000" w:rsidRPr="00000000">
        <w:rPr>
          <w:rFonts w:ascii="Arial" w:cs="Arial" w:eastAsia="Arial" w:hAnsi="Arial"/>
          <w:rtl w:val="0"/>
        </w:rPr>
        <w:t xml:space="preserve">, encargado de la interacción directa con el usuario. Desde esta capa se gestionan las vistas, formularios, validaciones y consumo de los servicios API. El objetivo es ofrecer una experiencia fluida y accesible para distintos perfiles de usuario (administradores, funcionarios y vecinos), permitiendo el acceso desde navegadores o dispositivos móviles.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capa de lógica de negocio</w:t>
      </w:r>
      <w:r w:rsidDel="00000000" w:rsidR="00000000" w:rsidRPr="00000000">
        <w:rPr>
          <w:rFonts w:ascii="Arial" w:cs="Arial" w:eastAsia="Arial" w:hAnsi="Arial"/>
          <w:rtl w:val="0"/>
        </w:rPr>
        <w:t xml:space="preserve"> se implementa mediante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servicios RESTful</w:t>
      </w:r>
      <w:r w:rsidDel="00000000" w:rsidR="00000000" w:rsidRPr="00000000">
        <w:rPr>
          <w:rFonts w:ascii="Arial" w:cs="Arial" w:eastAsia="Arial" w:hAnsi="Arial"/>
          <w:rtl w:val="0"/>
        </w:rPr>
        <w:t xml:space="preserve">, desarrollados principalmente con tecnologías modernas como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FastAPI o Node.js</w:t>
      </w:r>
      <w:r w:rsidDel="00000000" w:rsidR="00000000" w:rsidRPr="00000000">
        <w:rPr>
          <w:rFonts w:ascii="Arial" w:cs="Arial" w:eastAsia="Arial" w:hAnsi="Arial"/>
          <w:rtl w:val="0"/>
        </w:rPr>
        <w:t xml:space="preserve">, encargadas de procesar las peticiones del cliente, validar datos, aplicar reglas de negocio y comunicarse con la base de datos. Esta capa incluye módulos para 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gestión de usuarios y roles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emisión de certificados digitales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administración de reservas de espacios comunitarios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publicación de noticias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notificaciones automáticas por correo electrónico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capa de datos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conformada por un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sistema gestor de base de datos relacional (PostgreSQL o MySQL)</w:t>
      </w:r>
      <w:r w:rsidDel="00000000" w:rsidR="00000000" w:rsidRPr="00000000">
        <w:rPr>
          <w:rFonts w:ascii="Arial" w:cs="Arial" w:eastAsia="Arial" w:hAnsi="Arial"/>
          <w:rtl w:val="0"/>
        </w:rPr>
        <w:t xml:space="preserve">, responsable del almacenamiento persistente y seguro de la información. Todas las entidades del sistema se encuentran normalizadas para garantizar la integridad referencial y reducir la redundancia, además de incluir mecanismos de auditoría y control de estados (activo/inactivo) para mantener trazabilidad en las operaciones.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sigue un enfoque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cliente-servidor</w:t>
      </w:r>
      <w:r w:rsidDel="00000000" w:rsidR="00000000" w:rsidRPr="00000000">
        <w:rPr>
          <w:rFonts w:ascii="Arial" w:cs="Arial" w:eastAsia="Arial" w:hAnsi="Arial"/>
          <w:rtl w:val="0"/>
        </w:rPr>
        <w:t xml:space="preserve"> bajo un modelo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orientado a servicios (SOA)</w:t>
      </w:r>
      <w:r w:rsidDel="00000000" w:rsidR="00000000" w:rsidRPr="00000000">
        <w:rPr>
          <w:rFonts w:ascii="Arial" w:cs="Arial" w:eastAsia="Arial" w:hAnsi="Arial"/>
          <w:rtl w:val="0"/>
        </w:rPr>
        <w:t xml:space="preserve">, lo que permite que cada módulo pueda ser desplegado de forma independiente, facilitando la escalabilidad horizontal del backend. Además, el uso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APIs bien definidas</w:t>
      </w:r>
      <w:r w:rsidDel="00000000" w:rsidR="00000000" w:rsidRPr="00000000">
        <w:rPr>
          <w:rFonts w:ascii="Arial" w:cs="Arial" w:eastAsia="Arial" w:hAnsi="Arial"/>
          <w:rtl w:val="0"/>
        </w:rPr>
        <w:t xml:space="preserve"> posibilita la interoperabilidad con otras plataformas o futuras extensiones del sistema, como pasarelas de pago, sistemas municipales o aplicaciones móviles nativas.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términos de seguridad, la arquitectura contempla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autenticación mediante tokens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control de acceso basado en roles (RBAC), y cifrado de datos sensibles, asegurando que cada usuario acceda únicamente a la información que le corresponde. Asimismo, se consideran prácticas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observabilidad y mantenimiento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como registros de logs, monitoreo del rendimiento y manejo de excepciones centralizado.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conjunto, la arquitectura del sistema territorial proporciona una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infraestructura robusta, escalable y segura</w:t>
      </w:r>
      <w:r w:rsidDel="00000000" w:rsidR="00000000" w:rsidRPr="00000000">
        <w:rPr>
          <w:rFonts w:ascii="Arial" w:cs="Arial" w:eastAsia="Arial" w:hAnsi="Arial"/>
          <w:rtl w:val="0"/>
        </w:rPr>
        <w:t xml:space="preserve">, capaz de adaptarse a las necesidades de diferentes comunidades vecinales y de ser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replicada fácilmente</w:t>
      </w:r>
      <w:r w:rsidDel="00000000" w:rsidR="00000000" w:rsidRPr="00000000">
        <w:rPr>
          <w:rFonts w:ascii="Arial" w:cs="Arial" w:eastAsia="Arial" w:hAnsi="Arial"/>
          <w:rtl w:val="0"/>
        </w:rPr>
        <w:t xml:space="preserve"> en otras organizaciones, manteniendo una estructura coherente y sostenible en el tiempo.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numPr>
          <w:ilvl w:val="0"/>
          <w:numId w:val="5"/>
        </w:numPr>
        <w:spacing w:after="120" w:before="280" w:line="276" w:lineRule="auto"/>
        <w:ind w:left="720" w:hanging="360"/>
        <w:jc w:val="both"/>
        <w:rPr>
          <w:rFonts w:ascii="Arial" w:cs="Arial" w:eastAsia="Arial" w:hAnsi="Arial"/>
          <w:b w:val="1"/>
          <w:sz w:val="30"/>
          <w:szCs w:val="30"/>
        </w:rPr>
      </w:pPr>
      <w:bookmarkStart w:colFirst="0" w:colLast="0" w:name="_heading=h.htpl0b8c0wx8" w:id="4"/>
      <w:bookmarkEnd w:id="4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Diagrama de Arquitectura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43053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diagrama de contexto</w:t>
      </w:r>
      <w:r w:rsidDel="00000000" w:rsidR="00000000" w:rsidRPr="00000000">
        <w:rPr>
          <w:rFonts w:ascii="Arial" w:cs="Arial" w:eastAsia="Arial" w:hAnsi="Arial"/>
          <w:rtl w:val="0"/>
        </w:rPr>
        <w:t xml:space="preserve"> representa una vista general del sistema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Unidad Territorial </w:t>
      </w:r>
      <w:r w:rsidDel="00000000" w:rsidR="00000000" w:rsidRPr="00000000">
        <w:rPr>
          <w:rFonts w:ascii="Arial" w:cs="Arial" w:eastAsia="Arial" w:hAnsi="Arial"/>
          <w:rtl w:val="0"/>
        </w:rPr>
        <w:t xml:space="preserve">dentro de su entorno, mostrando cómo interactúa con los diferentes actores y sistemas externos.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este nivel se identifican cuatro tipos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usuarios principales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Vecino:</w:t>
      </w:r>
      <w:r w:rsidDel="00000000" w:rsidR="00000000" w:rsidRPr="00000000">
        <w:rPr>
          <w:rFonts w:ascii="Arial" w:cs="Arial" w:eastAsia="Arial" w:hAnsi="Arial"/>
          <w:rtl w:val="0"/>
        </w:rPr>
        <w:t xml:space="preserve"> usuario final que solicita certificados, participa en actividades comunitarias y accede a los servicios municipales disponibles a través de la plataforma.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Moderador:</w:t>
      </w:r>
      <w:r w:rsidDel="00000000" w:rsidR="00000000" w:rsidRPr="00000000">
        <w:rPr>
          <w:rFonts w:ascii="Arial" w:cs="Arial" w:eastAsia="Arial" w:hAnsi="Arial"/>
          <w:rtl w:val="0"/>
        </w:rPr>
        <w:t xml:space="preserve"> encargado de gestionar solicitudes, coordinar actividades y validar información dentro de su comunidad.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Funcionario Municipal:</w:t>
      </w:r>
      <w:r w:rsidDel="00000000" w:rsidR="00000000" w:rsidRPr="00000000">
        <w:rPr>
          <w:rFonts w:ascii="Arial" w:cs="Arial" w:eastAsia="Arial" w:hAnsi="Arial"/>
          <w:rtl w:val="0"/>
        </w:rPr>
        <w:t xml:space="preserve"> usuario administrativo que aprueba solicitudes y emite certificados oficiales en nombre de la junta vecinal o el municipio.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Administrador:</w:t>
      </w:r>
      <w:r w:rsidDel="00000000" w:rsidR="00000000" w:rsidRPr="00000000">
        <w:rPr>
          <w:rFonts w:ascii="Arial" w:cs="Arial" w:eastAsia="Arial" w:hAnsi="Arial"/>
          <w:rtl w:val="0"/>
        </w:rPr>
        <w:t xml:space="preserve"> usuario con permisos avanzados que configura parámetros del sistema, gestiona usuarios y supervisa la operación general de la plataforma.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central,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Sistema Unidad Territorial</w:t>
      </w:r>
      <w:r w:rsidDel="00000000" w:rsidR="00000000" w:rsidRPr="00000000">
        <w:rPr>
          <w:rFonts w:ascii="Arial" w:cs="Arial" w:eastAsia="Arial" w:hAnsi="Arial"/>
          <w:rtl w:val="0"/>
        </w:rPr>
        <w:t xml:space="preserve">, actúa como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plataforma de gestión integral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conecta a los vecinos, moderadores y funcionarios con los servicios municipales. Este sistema intercambia información y se comunica con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tres servicios externos principales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Google OAuth: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permite la autenticación segura de los usuarios a través del protocolo OAuth 2.0, evitando la necesidad de manejar contraseñas dentro del sistema.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Google Maps:</w:t>
      </w:r>
      <w:r w:rsidDel="00000000" w:rsidR="00000000" w:rsidRPr="00000000">
        <w:rPr>
          <w:rFonts w:ascii="Arial" w:cs="Arial" w:eastAsia="Arial" w:hAnsi="Arial"/>
          <w:rtl w:val="0"/>
        </w:rPr>
        <w:t xml:space="preserve"> utilizado para validar y geocodificar direcciones, garantizando que los datos de ubicación sean precisos y verificables.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SMTP (Servicio de Correo Electrónico):</w:t>
      </w:r>
      <w:r w:rsidDel="00000000" w:rsidR="00000000" w:rsidRPr="00000000">
        <w:rPr>
          <w:rFonts w:ascii="Arial" w:cs="Arial" w:eastAsia="Arial" w:hAnsi="Arial"/>
          <w:rtl w:val="0"/>
        </w:rPr>
        <w:t xml:space="preserve"> encargado de enviar notificaciones y alertas a los usuarios, como confirmaciones de solicitudes o avisos administrativos.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conjunto, el diagrama de contexto muestra cómo la plataforma se sitúa dentro de un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ecosistema digital conectado</w:t>
      </w:r>
      <w:r w:rsidDel="00000000" w:rsidR="00000000" w:rsidRPr="00000000">
        <w:rPr>
          <w:rFonts w:ascii="Arial" w:cs="Arial" w:eastAsia="Arial" w:hAnsi="Arial"/>
          <w:rtl w:val="0"/>
        </w:rPr>
        <w:t xml:space="preserve">, actuando como un intermediario entre los distintos actores de la comunidad y los servicios tecnológicos externos que complementan sus funcionalidades.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400800" cy="32131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diagrama de contenedores</w:t>
      </w:r>
      <w:r w:rsidDel="00000000" w:rsidR="00000000" w:rsidRPr="00000000">
        <w:rPr>
          <w:rFonts w:ascii="Arial" w:cs="Arial" w:eastAsia="Arial" w:hAnsi="Arial"/>
          <w:rtl w:val="0"/>
        </w:rPr>
        <w:t xml:space="preserve"> descompone el sistema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Unidad Territorial</w:t>
      </w:r>
      <w:r w:rsidDel="00000000" w:rsidR="00000000" w:rsidRPr="00000000">
        <w:rPr>
          <w:rFonts w:ascii="Arial" w:cs="Arial" w:eastAsia="Arial" w:hAnsi="Arial"/>
          <w:rtl w:val="0"/>
        </w:rPr>
        <w:t xml:space="preserve"> en sus principales componentes técnicos o “contenedores”, mostrando cómo cada uno cumple un rol específico dentro de la arquitectura general.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contenedores principales son los siguientes: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Angular SPA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desarrollado en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Angular 20.1 y TypeScript</w:t>
      </w:r>
      <w:r w:rsidDel="00000000" w:rsidR="00000000" w:rsidRPr="00000000">
        <w:rPr>
          <w:rFonts w:ascii="Arial" w:cs="Arial" w:eastAsia="Arial" w:hAnsi="Arial"/>
          <w:rtl w:val="0"/>
        </w:rPr>
        <w:t xml:space="preserve">, provee la interfaz de usuario (UI) que permite a los vecinos y funcionarios interactuar con el sistema de forma intuitiva y responsiva. Desde esta capa se consumen los servicios REST del backend a través de peticiones HTTPS seguras.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FastAPI Backend (Servidor de Aplicaciones):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implementado en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Python 3.9+</w:t>
      </w:r>
      <w:r w:rsidDel="00000000" w:rsidR="00000000" w:rsidRPr="00000000">
        <w:rPr>
          <w:rFonts w:ascii="Arial" w:cs="Arial" w:eastAsia="Arial" w:hAnsi="Arial"/>
          <w:rtl w:val="0"/>
        </w:rPr>
        <w:t xml:space="preserve"> utilizando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FastAPI</w:t>
      </w:r>
      <w:r w:rsidDel="00000000" w:rsidR="00000000" w:rsidRPr="00000000">
        <w:rPr>
          <w:rFonts w:ascii="Arial" w:cs="Arial" w:eastAsia="Arial" w:hAnsi="Arial"/>
          <w:rtl w:val="0"/>
        </w:rPr>
        <w:t xml:space="preserve">, actúa como el núcleo lógico del sistema. Gestiona las reglas de negocio, la autenticación multi-tenant, la validación de datos, la emisión de certificados, la gestión de reservas y la comunicación con la base de datos.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PostgreSQL Database (Base de Datos):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desplegada en un entorno gestionado (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Cloud SQL</w:t>
      </w:r>
      <w:r w:rsidDel="00000000" w:rsidR="00000000" w:rsidRPr="00000000">
        <w:rPr>
          <w:rFonts w:ascii="Arial" w:cs="Arial" w:eastAsia="Arial" w:hAnsi="Arial"/>
          <w:rtl w:val="0"/>
        </w:rPr>
        <w:t xml:space="preserve">), almacena toda la información estructurada del sistema: usuarios, comunidades, certificados, reservas y registros de auditoría. Garantiza integridad referencial, seguridad y consistencia transaccional.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Redis Cache: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utiliza como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sistema de caché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almacenamiento temporal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optimizar el rendimiento de la plataforma, reduciendo el tiempo de respuesta en operaciones frecuentes (como la validación de sesiones o la recuperación de datos de uso común).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File Storage (Almacenamiento de Archivos):</w:t>
      </w:r>
      <w:r w:rsidDel="00000000" w:rsidR="00000000" w:rsidRPr="00000000">
        <w:rPr>
          <w:rFonts w:ascii="Arial" w:cs="Arial" w:eastAsia="Arial" w:hAnsi="Arial"/>
          <w:rtl w:val="0"/>
        </w:rPr>
        <w:t xml:space="preserve"> ubicado en la nube (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Cloud Storage</w:t>
      </w:r>
      <w:r w:rsidDel="00000000" w:rsidR="00000000" w:rsidRPr="00000000">
        <w:rPr>
          <w:rFonts w:ascii="Arial" w:cs="Arial" w:eastAsia="Arial" w:hAnsi="Arial"/>
          <w:rtl w:val="0"/>
        </w:rPr>
        <w:t xml:space="preserve">), permite almacenar de manera segura documentos adjuntos, evidencias de domicilio y certificados emitidos en formato digital.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Además, el backend se comunica con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servicios externos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amplían sus capacidades: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Google OAuth: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autenticación de usuarios mediante OAuth 2.0 + PKCE.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Google Maps: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geocodificación y verificación de direcciones.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Email Service (SMTP):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el envío de notificaciones automáticas y correos transaccionales.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interacción entre estos contenedores sigue un patrón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cliente-servidor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una arquitectura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orientada a servicios (SOA)</w:t>
      </w:r>
      <w:r w:rsidDel="00000000" w:rsidR="00000000" w:rsidRPr="00000000">
        <w:rPr>
          <w:rFonts w:ascii="Arial" w:cs="Arial" w:eastAsia="Arial" w:hAnsi="Arial"/>
          <w:rtl w:val="0"/>
        </w:rPr>
        <w:t xml:space="preserve">, garantizando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modularidad, escalabilidad y seguridad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  <w:t xml:space="preserve"> El usuario interactúa desde el navegador con el frontend (Angular), que a su vez se comunica con la API (FastAPI). Esta API gestiona la lógica de negocio y se apoya en los servicios de base de datos, caché y almacenamiento de archivos, manteniendo una comunicación fluida y eficiente entre todos los componentes.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síntesis, el diagrama de contenedores evidencia una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arquitectura moderna, desacoplada y escalable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combina tecnologías cloud y principios de buenas prácticas de diseño, asegurando 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disponibilidad, mantenibilidad y evolución continua</w:t>
      </w:r>
      <w:r w:rsidDel="00000000" w:rsidR="00000000" w:rsidRPr="00000000">
        <w:rPr>
          <w:rFonts w:ascii="Arial" w:cs="Arial" w:eastAsia="Arial" w:hAnsi="Arial"/>
          <w:rtl w:val="0"/>
        </w:rPr>
        <w:t xml:space="preserve"> del sistema.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numPr>
          <w:ilvl w:val="0"/>
          <w:numId w:val="5"/>
        </w:numPr>
        <w:spacing w:after="240" w:line="276" w:lineRule="auto"/>
        <w:ind w:left="720" w:hanging="360"/>
        <w:jc w:val="both"/>
        <w:rPr>
          <w:rFonts w:ascii="Arial" w:cs="Arial" w:eastAsia="Arial" w:hAnsi="Arial"/>
          <w:sz w:val="30"/>
          <w:szCs w:val="30"/>
        </w:rPr>
      </w:pPr>
      <w:bookmarkStart w:colFirst="0" w:colLast="0" w:name="_heading=h.xhh0merr4nqu" w:id="5"/>
      <w:bookmarkEnd w:id="5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Conclusiones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arquitectura del sistema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Unidad Territorial</w:t>
      </w:r>
      <w:r w:rsidDel="00000000" w:rsidR="00000000" w:rsidRPr="00000000">
        <w:rPr>
          <w:rFonts w:ascii="Arial" w:cs="Arial" w:eastAsia="Arial" w:hAnsi="Arial"/>
          <w:rtl w:val="0"/>
        </w:rPr>
        <w:t xml:space="preserve"> demuestra una estructura sólida, modular y escalable, basada en tecnologías modernas que garantizan un funcionamiento eficiente y seguro. La separación por capas —frontend, backend y base de datos— permite una clara división de responsabilidades, facilitando la mantenibilidad, el despliegue y la futura evolución del sistema.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uso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Angular, FastAPI, PostgreSQL y Redis</w:t>
      </w:r>
      <w:r w:rsidDel="00000000" w:rsidR="00000000" w:rsidRPr="00000000">
        <w:rPr>
          <w:rFonts w:ascii="Arial" w:cs="Arial" w:eastAsia="Arial" w:hAnsi="Arial"/>
          <w:rtl w:val="0"/>
        </w:rPr>
        <w:t xml:space="preserve"> refleja una arquitectura orientada a servicios (SOA) que optimiza el rendimiento, la interoperabilidad y la experiencia del usuario. Además, la integración con servicios externos como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Google OAuth, Google Maps y SMTP</w:t>
      </w:r>
      <w:r w:rsidDel="00000000" w:rsidR="00000000" w:rsidRPr="00000000">
        <w:rPr>
          <w:rFonts w:ascii="Arial" w:cs="Arial" w:eastAsia="Arial" w:hAnsi="Arial"/>
          <w:rtl w:val="0"/>
        </w:rPr>
        <w:t xml:space="preserve"> refuerza la seguridad y amplía las capacidades del sistema sin incrementar su complejidad interna.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Desde una perspectiva de innovación, Unidad Territorial se posiciona como una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solución tecnológica replicable</w:t>
      </w:r>
      <w:r w:rsidDel="00000000" w:rsidR="00000000" w:rsidRPr="00000000">
        <w:rPr>
          <w:rFonts w:ascii="Arial" w:cs="Arial" w:eastAsia="Arial" w:hAnsi="Arial"/>
          <w:rtl w:val="0"/>
        </w:rPr>
        <w:t xml:space="preserve">, capaz de adaptarse a distintas juntas de vecinos o municipios sin perder su integridad estructural. Su diseño modular y su enfoque cloud-ready garantizan la escalabilidad a medida que crece la demanda de usuarios o se incorporan nuevas funcionalidades.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conclusión, la arquitectura implementada no solo cumple los objetivos técnicos del proyecto, sino que también sienta las bases para una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plataforma sostenible, adaptable y con alto potencial de expansión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88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rFonts w:ascii="Arial" w:cs="Arial" w:eastAsia="Arial" w:hAnsi="Arial"/>
        <w:b w:val="1"/>
        <w:color w:val="2f5496"/>
        <w:sz w:val="30"/>
        <w:szCs w:val="30"/>
      </w:rPr>
    </w:pPr>
    <w:r w:rsidDel="00000000" w:rsidR="00000000" w:rsidRPr="00000000">
      <w:rPr>
        <w:rFonts w:ascii="Arial" w:cs="Arial" w:eastAsia="Arial" w:hAnsi="Arial"/>
        <w:b w:val="1"/>
        <w:color w:val="2f5496"/>
        <w:sz w:val="30"/>
        <w:szCs w:val="30"/>
        <w:rtl w:val="0"/>
      </w:rPr>
      <w:t xml:space="preserve">Arquitectura del Sistema</w:t>
    </w: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3838575</wp:posOffset>
          </wp:positionH>
          <wp:positionV relativeFrom="margin">
            <wp:posOffset>-828727</wp:posOffset>
          </wp:positionV>
          <wp:extent cx="2566035" cy="426085"/>
          <wp:effectExtent b="0" l="0" r="0" t="0"/>
          <wp:wrapSquare wrapText="bothSides" distB="0" distT="0" distL="114300" distR="114300"/>
          <wp:docPr id="1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decimal"/>
      <w:lvlText w:val="%1.%2"/>
      <w:lvlJc w:val="left"/>
      <w:pPr>
        <w:ind w:left="765" w:hanging="405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1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2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3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4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5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6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7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8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9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a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b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c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d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e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0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1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2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3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4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5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6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7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8" w:customStyle="1">
    <w:basedOn w:val="TableNormal1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f9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350DDD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350DDD"/>
  </w:style>
  <w:style w:type="paragraph" w:styleId="Piedepgina">
    <w:name w:val="footer"/>
    <w:basedOn w:val="Normal"/>
    <w:link w:val="PiedepginaCar"/>
    <w:uiPriority w:val="99"/>
    <w:unhideWhenUsed w:val="1"/>
    <w:rsid w:val="00350DDD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350DDD"/>
  </w:style>
  <w:style w:type="table" w:styleId="Tablaconcuadrcula">
    <w:name w:val="Table Grid"/>
    <w:basedOn w:val="Tablanormal"/>
    <w:uiPriority w:val="39"/>
    <w:rsid w:val="00350DD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FA2CBF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YLunmhRMP/ZgRVRWXM5PfJhXDA==">CgMxLjAyDmgucWlhdWc5YWVkNzN5Mg5oLnc5a2VudDFrMWNhdzIOaC5qcWZieGxuc2RxNDYyDmgua2gxZjJhcjdsdWNzMg5oLmh0cGwwYjhjMHd4ODIOaC54aGgwbWVycjRucXU4AHIhMUppV2pqc1lLMTY1WFRQLWdIenR1WTcwZkI5amgtOWxO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2024-01-17T22:54:00Z</dcterms:created>
</cp:coreProperties>
</file>