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Ота Никита Терентьевич</w:t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Теоретический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/>
      </w:pPr>
      <w:bookmarkStart w:colFirst="0" w:colLast="0" w:name="_7m85juf2tghk" w:id="0"/>
      <w:bookmarkEnd w:id="0"/>
      <w:r w:rsidDel="00000000" w:rsidR="00000000" w:rsidRPr="00000000">
        <w:rPr>
          <w:rtl w:val="0"/>
        </w:rPr>
        <w:t xml:space="preserve">Секционирование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Секционирование – разбиение таблицы на фрагменты, хранящиеся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разных местах.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Называется шардингом, если разбиение осуществляется на разные компьютеры.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Есть два вида секционирования: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Вертикальное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разбивается по столбцам. Реализуется посредством проекции и соединения.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Students ( SId , GId , FirstName , LastName , PassSeries 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PassNo , PassIssued , Photo ) – исходная таблица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Разобьём на: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StudentData ( SId , GId , FirstName , LastName 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StudentPasses ( SId , PassSeries , PassNo , PassIssued 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Student Photos ( SId , Photo 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Обращение к фото (StudentPhotos) происходит значительно реже, чем к основ-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ным данным студента (StudentData). Также таблица с персональными данными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(StudentPasses) требует повышенных прав доступа.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Создадим также представление для работы с исходной таблицей.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create view Students as StudentData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natural join StudentPasses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natural join StudentPhotos;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Отделение данных, к которым часто обращаются, от тех, к которым обраща-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ются редко.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Защита информации.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Поддерживается во многих СУБД для CLOB и BLOB.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Недостатки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Нет специальной поддержки в СУБД. Считается, что проекции и соединения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для указанных целей достаточно.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Зависимость от представления (соединенных данных). Некоторые СУБД накладывают ограничения на представления, например, запрещают создавать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внешние ключи на них.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Необходимость обновляемых представлений также не гарантирована.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Горизонтальное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разделяется по строкам. Корректно, когда каждая строка попадает ровно в одну секцию. Реализуется посредством фильтрации и объединения.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Points ( SId , CId , Points , Date ) – исходная таблица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Разобьём по Date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Points2021−1 – оценки за весенний семестр 2021,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Points2021−2 – оценки за осенний семестр 2021,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Points2020−1 – оценки за весенний семестр 2020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Отделение данных, к которым часто обращаются, от тех, к которым обраща-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ются редко. Например, чаще всего старые данные нужны реже новых.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При уменьшении размера секции уменьшается размер индекса.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Требуется встроенная поддержка.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Прозрачно для пользователя.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Недостатки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В некоторых случаях может приводить к замедлению работы.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секционирования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Простые.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– По диапазонам значений,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– По значениям,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– По хешу.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выражению. Поддерживаются реже.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Составные.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– По диапазонам и хешу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Например, секционирования по диапазонам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create table Points ( . . . 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partition by range ( Date )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partition pHist values less than ’ 2021 −02 −01 ’ 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partition p2021s1 values less than ’ 2021 −07−01 ’ 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partition p2021s2 values less than ’ 2022 −02−01 ’ 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partition pFuture values less than maxvalue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Секционирование по значениям.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create table Points ( . . . 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partition by list ( Term ) (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partition p Hist values in (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’ t2020 −1 ’ , ’ t2020 − 2 ’ , …),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partition p2021s1 values in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’ t2021 −1 ’ ) 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partition p2021s2 values in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’ t2021 −2 ’ ) 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partition pFuture values in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’ t2022 −1 ’ 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При таком подходе секция может быть не определена при записи.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Points ( Term ) values ( ’ t2001 −1 ’ ) 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При чтении из несуществующей секции будет получен пустой результат.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Секционирование по хешу.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Хешируется по набору столбцов. Работает эффективно при хорошей и быстрой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хеш-функции.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create table Points ( . . . 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partition by hash ( Term 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partitions 4;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Секционирование по выражению.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Зависит от определенной в БД функции.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create table Points ( . . . 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partition by year ( Date ) (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partitionp Hist values less than 2021 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partition pCurrent values less than 2022 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partition pFuture values less than maxvalue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Составное секционирование.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Секции разбиваются на подсекции, возможно, по разным атрибутам.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create table Points ( . . . 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partition by year ( Date 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subpartition by hash ( Term ) (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partition History values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less than 2021 (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subpartition History1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, subpartition History2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partition Current values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less than 2022 (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subpartition Current1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, subpartition Current2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секциями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Синтаксис может отличаться в зависимости от СУБД.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Удаление секции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alter table &lt;table&gt; drop partition &lt;section&gt;;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Разбиение секции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alter table &lt;table&gt; reorganise &lt;section&gt; into ( . . . ) 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Перехеширование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−− Add count of partitions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alter table &lt;table&gt; add partition &lt;count&gt;;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−− Delete count of partitions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Alter table &lt;table&gt; coalesce partition &lt;count&gt;;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Оптимизатор владеет информацией о секциях.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В частности, где какие данные находятся.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Points where Date = ’2021−12−06’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При таком запросе выборка будет производиться только из секции 2021 года.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Секционирование и индексы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Можно определить следующие индексы: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Локальный – один на секцию. Ускорение при выборе секций.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Глобальный – один на таблицу. Также ускорение при выборе секций.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Секционированный – разбит на секции. Обеспечивает согласованное секционирование (могут помочь при склеивании секций).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Секционирование и ключи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Лучше всего, если множество столбцов, по которым идет секционирование, образует подключ.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Еще лучше – подключ всех ключей (например, если внешние ключи на таблицу ссылаются на разные ее ключи).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Теоретическое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ageBreakBefore w:val="0"/>
        <w:spacing w:after="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5uro2g9qvs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Построение запросов в терминах исчисления кортежей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Даны отношения: Поставщик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tl w:val="0"/>
        </w:rPr>
        <w:t xml:space="preserve">НомерПоставщика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НазваниеПоставщика, ГородПоставщика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tl w:val="0"/>
        </w:rPr>
        <w:t xml:space="preserve">, Деталь (НомерДетали, Цвет, Вес, ГородДетали), Цены (НомерПоставщика, НомерДетали, Цена). Требуется записать в терминах исчисления кортежей следующие запросы: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1420" w:hanging="28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   Детали, поставляемые поставщиком, находящимся в том же городе, в котором нужна деталь.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1420" w:hanging="280"/>
        <w:rPr/>
      </w:pPr>
      <w:r w:rsidDel="00000000" w:rsidR="00000000" w:rsidRPr="00000000">
        <w:rPr>
          <w:rtl w:val="0"/>
        </w:rPr>
        <w:t xml:space="preserve">2.   Детали, которые поставляют все поставщики в заданном городе.</w:t>
      </w:r>
    </w:p>
    <w:p w:rsidR="00000000" w:rsidDel="00000000" w:rsidP="00000000" w:rsidRDefault="00000000" w:rsidRPr="00000000" w14:paraId="0000009B">
      <w:pPr>
        <w:pStyle w:val="Heading2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Деталь where ∀Поставщик (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∃Цены (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Деталь.ГородДетали = Поставщик.ГородПоставщика ∧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Цены.НомерПоставщика = Поставщик.НомерПоставщика ∧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Цены.НомерДетали = Деталь.НомерДетали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Деталь where ∀Цены (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∀Поставщик 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Поставщик.ГородПоставщика = ЗаданныйГород ∧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Цены.НомерПоставщика = Поставщик.НомерПоставщика ∧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Цены.НомерДетали = Деталь.НомерДетали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pStyle w:val="Heading1"/>
        <w:rPr/>
      </w:pPr>
      <w:r w:rsidDel="00000000" w:rsidR="00000000" w:rsidRPr="00000000">
        <w:rPr>
          <w:rtl w:val="0"/>
        </w:rPr>
        <w:t xml:space="preserve">3. Практическое задание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Задание ограничений целостности</w:t>
        <w:br w:type="textWrapping"/>
        <w:t xml:space="preserve">Задайте ограничения целостности так, чтобы в парах мужчина не мог быть female figure skater и наоборот.</w:t>
      </w:r>
    </w:p>
    <w:p w:rsidR="00000000" w:rsidDel="00000000" w:rsidP="00000000" w:rsidRDefault="00000000" w:rsidRPr="00000000" w14:paraId="000000AF">
      <w:pPr>
        <w:pStyle w:val="Heading2"/>
        <w:rPr/>
      </w:pPr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отношении People отсутствует маркировка гендерного признака человека.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Из-за этого получается, что нужно либо создавать новые функции для определения гендера человека (что представляет крайнюю сложность, например, в китайских именах, где имя может быть как мужское, так и женское), либо добавить новый атрибут гендера для создания нового ограничения целостности.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Давайте добавим новый атрибут у отношения People.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spacing w:line="331.2" w:lineRule="auto"/>
        <w:jc w:val="both"/>
        <w:rPr/>
      </w:pPr>
      <w:bookmarkStart w:colFirst="0" w:colLast="0" w:name="_d1g3ohq4lur2" w:id="2"/>
      <w:bookmarkEnd w:id="2"/>
      <w:r w:rsidDel="00000000" w:rsidR="00000000" w:rsidRPr="00000000">
        <w:rPr>
          <w:rtl w:val="0"/>
        </w:rPr>
        <w:t xml:space="preserve">Отношение People</w:t>
      </w:r>
    </w:p>
    <w:p w:rsidR="00000000" w:rsidDel="00000000" w:rsidP="00000000" w:rsidRDefault="00000000" w:rsidRPr="00000000" w14:paraId="000000B4">
      <w:pPr>
        <w:widowControl w:val="0"/>
        <w:spacing w:line="331.2" w:lineRule="auto"/>
        <w:ind w:firstLine="5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Атрибуты: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3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PersonId — уникальный идентификатор человека.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PersonName — имя человека.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BirthDate — дата рождения человека.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— страна.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ind w:left="10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 — пол человека.</w:t>
      </w:r>
    </w:p>
    <w:p w:rsidR="00000000" w:rsidDel="00000000" w:rsidP="00000000" w:rsidRDefault="00000000" w:rsidRPr="00000000" w14:paraId="000000BA">
      <w:pPr>
        <w:widowControl w:val="0"/>
        <w:spacing w:line="331.2" w:lineRule="auto"/>
        <w:ind w:firstLine="5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5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PersonId → PersonName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5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PersonId → BirthDate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5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PersonId → Country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5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PersonId → Gender</w:t>
      </w:r>
    </w:p>
    <w:p w:rsidR="00000000" w:rsidDel="00000000" w:rsidP="00000000" w:rsidRDefault="00000000" w:rsidRPr="00000000" w14:paraId="000000BF">
      <w:pPr>
        <w:widowControl w:val="0"/>
        <w:spacing w:line="331.2" w:lineRule="auto"/>
        <w:ind w:firstLine="5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Ключи: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"/>
        </w:numPr>
        <w:ind w:left="10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{PersonId}</w:t>
      </w:r>
    </w:p>
    <w:p w:rsidR="00000000" w:rsidDel="00000000" w:rsidP="00000000" w:rsidRDefault="00000000" w:rsidRPr="00000000" w14:paraId="000000C1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type GenderType as enum (</w:t>
      </w:r>
    </w:p>
    <w:p w:rsidR="00000000" w:rsidDel="00000000" w:rsidP="00000000" w:rsidRDefault="00000000" w:rsidRPr="00000000" w14:paraId="000000C3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'Male',</w:t>
      </w:r>
    </w:p>
    <w:p w:rsidR="00000000" w:rsidDel="00000000" w:rsidP="00000000" w:rsidRDefault="00000000" w:rsidRPr="00000000" w14:paraId="000000C4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'Female'</w:t>
      </w:r>
    </w:p>
    <w:p w:rsidR="00000000" w:rsidDel="00000000" w:rsidP="00000000" w:rsidRDefault="00000000" w:rsidRPr="00000000" w14:paraId="000000C5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People (</w:t>
      </w:r>
    </w:p>
    <w:p w:rsidR="00000000" w:rsidDel="00000000" w:rsidP="00000000" w:rsidRDefault="00000000" w:rsidRPr="00000000" w14:paraId="000000C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PersonId    int             not null generated always as identity,</w:t>
      </w:r>
    </w:p>
    <w:p w:rsidR="00000000" w:rsidDel="00000000" w:rsidP="00000000" w:rsidRDefault="00000000" w:rsidRPr="00000000" w14:paraId="000000C9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PersonName  varchar(128)    not null,</w:t>
      </w:r>
    </w:p>
    <w:p w:rsidR="00000000" w:rsidDel="00000000" w:rsidP="00000000" w:rsidRDefault="00000000" w:rsidRPr="00000000" w14:paraId="000000C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BirthDate   date            not null,</w:t>
      </w:r>
    </w:p>
    <w:p w:rsidR="00000000" w:rsidDel="00000000" w:rsidP="00000000" w:rsidRDefault="00000000" w:rsidRPr="00000000" w14:paraId="000000C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     varchar(32)     not null,</w:t>
      </w:r>
    </w:p>
    <w:p w:rsidR="00000000" w:rsidDel="00000000" w:rsidP="00000000" w:rsidRDefault="00000000" w:rsidRPr="00000000" w14:paraId="000000C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Gender      GenderType      not null,</w:t>
      </w:r>
    </w:p>
    <w:p w:rsidR="00000000" w:rsidDel="00000000" w:rsidP="00000000" w:rsidRDefault="00000000" w:rsidRPr="00000000" w14:paraId="000000C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constraint People_PK primary key (PersonId)</w:t>
      </w:r>
    </w:p>
    <w:p w:rsidR="00000000" w:rsidDel="00000000" w:rsidP="00000000" w:rsidRDefault="00000000" w:rsidRPr="00000000" w14:paraId="000000CF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Создадим новое ограничение целостности для отношения Pairs</w:t>
      </w:r>
    </w:p>
    <w:p w:rsidR="00000000" w:rsidDel="00000000" w:rsidP="00000000" w:rsidRDefault="00000000" w:rsidRPr="00000000" w14:paraId="000000D2">
      <w:pPr>
        <w:widowControl w:val="0"/>
        <w:ind w:left="0" w:firstLine="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create assertion assert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0D4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5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 = not exists (</w:t>
      </w:r>
    </w:p>
    <w:p w:rsidR="00000000" w:rsidDel="00000000" w:rsidP="00000000" w:rsidRDefault="00000000" w:rsidRPr="00000000" w14:paraId="000000D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Gender</w:t>
      </w:r>
    </w:p>
    <w:p w:rsidR="00000000" w:rsidDel="00000000" w:rsidP="00000000" w:rsidRDefault="00000000" w:rsidRPr="00000000" w14:paraId="000000D7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Pairs</w:t>
      </w:r>
    </w:p>
    <w:p w:rsidR="00000000" w:rsidDel="00000000" w:rsidP="00000000" w:rsidRDefault="00000000" w:rsidRPr="00000000" w14:paraId="000000D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inner join People P1 on Pairs.PersonMId = P1.PersonId</w:t>
      </w:r>
    </w:p>
    <w:p w:rsidR="00000000" w:rsidDel="00000000" w:rsidP="00000000" w:rsidRDefault="00000000" w:rsidRPr="00000000" w14:paraId="000000D9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inner join People P2 on Pairs.PersonFId = P2.PersonId</w:t>
      </w:r>
    </w:p>
    <w:p w:rsidR="00000000" w:rsidDel="00000000" w:rsidP="00000000" w:rsidRDefault="00000000" w:rsidRPr="00000000" w14:paraId="000000D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P1.Gender != 'Male'</w:t>
      </w:r>
    </w:p>
    <w:p w:rsidR="00000000" w:rsidDel="00000000" w:rsidP="00000000" w:rsidRDefault="00000000" w:rsidRPr="00000000" w14:paraId="000000D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or P2.Gender != 'Female'</w:t>
      </w:r>
    </w:p>
    <w:p w:rsidR="00000000" w:rsidDel="00000000" w:rsidP="00000000" w:rsidRDefault="00000000" w:rsidRPr="00000000" w14:paraId="000000D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D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2-01-27T09:13:25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можно написать триггер, который проверяет новую строку при вставке: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GetGenderById(in PId int)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table (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GenderType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plpgsql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definer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query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People.Gender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PersonId = PId;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TrgBody()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plpgsql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definer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'Male' = GetGenderById(NEW.PersonMId) and 'Female' = GetGenderById(NEW.PersonFId) then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Pairs (PersonMId, PersonFId, Country)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(NEW.PersonMId, NEW.PersonFId, NEW.Country);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TrgGender on Pairs instead of insert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procedure TrgBody();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