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 w:eastAsia="微软雅黑"/>
          <w:b/>
          <w:color w:val="2B2F38"/>
          <w:sz w:val="48"/>
        </w:rPr>
        <w:t>展会地图 Demo</w:t>
      </w:r>
    </w:p>
    <w:p>
      <w:pPr>
        <w:spacing w:after="40"/>
      </w:pPr>
      <w:r>
        <w:rPr>
          <w:rFonts w:ascii="Segoe UI" w:hAnsi="Segoe UI" w:eastAsia="微软雅黑"/>
          <w:b/>
          <w:color w:val="FB7299"/>
          <w:sz w:val="48"/>
        </w:rPr>
        <w:t>实现思路说明</w:t>
      </w:r>
    </w:p>
    <w:p>
      <w:pPr>
        <w:spacing w:after="400"/>
      </w:pPr>
      <w:r>
        <w:rPr>
          <w:rFonts w:ascii="Segoe UI" w:hAnsi="Segoe UI" w:eastAsia="微软雅黑"/>
          <w:b w:val="0"/>
          <w:color w:val="6B7280"/>
          <w:sz w:val="20"/>
        </w:rPr>
        <w:t>面向产研的技术方案参考　|　2026 年 10 月</w:t>
      </w:r>
    </w:p>
    <w:p>
      <w:pPr>
        <w:keepNext/>
        <w:spacing w:before="360" w:after="160"/>
        <w:pBdr>
          <w:bottom w:val="single" w:sz="6" w:space="4" w:color="E2E5EC"/>
        </w:pBdr>
      </w:pPr>
      <w:r>
        <w:rPr>
          <w:rFonts w:ascii="Segoe UI" w:hAnsi="Segoe UI" w:eastAsia="微软雅黑"/>
          <w:b/>
          <w:color w:val="FB7299"/>
          <w:sz w:val="30"/>
        </w:rPr>
        <w:t xml:space="preserve">01  </w:t>
      </w:r>
      <w:r>
        <w:rPr>
          <w:rFonts w:ascii="Segoe UI" w:hAnsi="Segoe UI" w:eastAsia="微软雅黑"/>
          <w:b/>
          <w:color w:val="2B2F38"/>
          <w:sz w:val="30"/>
        </w:rPr>
        <w:t>概述</w:t>
      </w:r>
    </w:p>
    <w:p>
      <w:pPr>
        <w:spacing w:before="0" w:after="12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本文说明「展会地图」Demo 的技术实现路径，覆盖定位、围栏解锁、地图渲染、方向指向与导航接入五个环节，供产研评估可行性，并作为正式方案设计的参考。</w:t>
      </w:r>
    </w:p>
    <w:p>
      <w:pPr>
        <w:spacing w:before="0" w:after="12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Demo 为纯前端单页应用，零后端、零第三方地图 SDK，可部署在任意静态托管服务上，手机浏览器直接访问即可使用完整功能。</w:t>
      </w:r>
    </w:p>
    <w:p>
      <w:pPr>
        <w:keepNext/>
        <w:spacing w:before="360" w:after="160"/>
        <w:pBdr>
          <w:bottom w:val="single" w:sz="6" w:space="4" w:color="E2E5EC"/>
        </w:pBdr>
      </w:pPr>
      <w:r>
        <w:rPr>
          <w:rFonts w:ascii="Segoe UI" w:hAnsi="Segoe UI" w:eastAsia="微软雅黑"/>
          <w:b/>
          <w:color w:val="FB7299"/>
          <w:sz w:val="30"/>
        </w:rPr>
        <w:t xml:space="preserve">02  </w:t>
      </w:r>
      <w:r>
        <w:rPr>
          <w:rFonts w:ascii="Segoe UI" w:hAnsi="Segoe UI" w:eastAsia="微软雅黑"/>
          <w:b/>
          <w:color w:val="2B2F38"/>
          <w:sz w:val="30"/>
        </w:rPr>
        <w:t>用户流程</w:t>
      </w:r>
    </w:p>
    <w:p>
      <w:pPr>
        <w:spacing w:before="0" w:after="20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用户从打开页面到发起导航，共经历六步。核心是第 4 步的围栏判定，它决定功能是否解锁。</w:t>
      </w:r>
    </w:p>
    <w:p>
      <w:pPr>
        <w:keepNext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000" cy="3410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1052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80" w:line="372" w:lineRule="auto"/>
      </w:pPr>
      <w:r>
        <w:rPr>
          <w:rFonts w:ascii="Segoe UI" w:hAnsi="Segoe UI" w:eastAsia="微软雅黑"/>
          <w:b w:val="0"/>
          <w:color w:val="6B7280"/>
          <w:sz w:val="19"/>
        </w:rPr>
        <w:t>第 4 步为分支：用户不在围栏内时显示锁定卡片与实时距离；进入范围后自动解锁，地图放大至当前位置并接入方向指向；离开范围重新锁定。</w:t>
      </w:r>
    </w:p>
    <w:p>
      <w:pPr>
        <w:keepNext/>
        <w:spacing w:before="360" w:after="160"/>
        <w:pBdr>
          <w:bottom w:val="single" w:sz="6" w:space="4" w:color="E2E5EC"/>
        </w:pBdr>
      </w:pPr>
      <w:r>
        <w:rPr>
          <w:rFonts w:ascii="Segoe UI" w:hAnsi="Segoe UI" w:eastAsia="微软雅黑"/>
          <w:b/>
          <w:color w:val="FB7299"/>
          <w:sz w:val="30"/>
        </w:rPr>
        <w:t xml:space="preserve">03  </w:t>
      </w:r>
      <w:r>
        <w:rPr>
          <w:rFonts w:ascii="Segoe UI" w:hAnsi="Segoe UI" w:eastAsia="微软雅黑"/>
          <w:b/>
          <w:color w:val="2B2F38"/>
          <w:sz w:val="30"/>
        </w:rPr>
        <w:t>技术实现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B2F38"/>
          <w:sz w:val="23"/>
        </w:rPr>
        <w:t>3.1　定位与生命周期</w:t>
      </w:r>
    </w:p>
    <w:p>
      <w:pPr>
        <w:spacing w:before="0" w:after="8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使用浏览器原生的 Geolocation API 连续定位，关键在于生命周期管理：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 xml:space="preserve">watchPosition　</w:t>
      </w:r>
      <w:r>
        <w:rPr>
          <w:rFonts w:ascii="Segoe UI" w:hAnsi="Segoe UI" w:eastAsia="微软雅黑"/>
          <w:b w:val="0"/>
          <w:color w:val="2B2F38"/>
          <w:sz w:val="21"/>
        </w:rPr>
        <w:t>，开启高精度模式，持续回调位置变化。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 xml:space="preserve">可见性驱动　</w:t>
      </w:r>
      <w:r>
        <w:rPr>
          <w:rFonts w:ascii="Segoe UI" w:hAnsi="Segoe UI" w:eastAsia="微软雅黑"/>
          <w:b w:val="0"/>
          <w:color w:val="2B2F38"/>
          <w:sz w:val="21"/>
        </w:rPr>
        <w:t>：页面隐藏时停止监听并清空路线，恢复可见时自动重启。这是「只在 BWS 页面内调用导航」的落点。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 xml:space="preserve">错误处理　</w:t>
      </w:r>
      <w:r>
        <w:rPr>
          <w:rFonts w:ascii="Segoe UI" w:hAnsi="Segoe UI" w:eastAsia="微软雅黑"/>
          <w:b w:val="0"/>
          <w:color w:val="2B2F38"/>
          <w:sz w:val="21"/>
        </w:rPr>
        <w:t>：权限拒绝、位置不可用、超时三类错误分别映射为可读的操作提示，而不是暴露浏览器原始报错。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B2F38"/>
          <w:sz w:val="23"/>
        </w:rPr>
        <w:t>3.2　地图渲染</w:t>
      </w:r>
    </w:p>
    <w:p>
      <w:pPr>
        <w:spacing w:before="0" w:after="8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未接入第三方地图 SDK，自研了一个约 200 行的迷你瓦片引擎：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 xml:space="preserve">投影与瓦片　</w:t>
      </w:r>
      <w:r>
        <w:rPr>
          <w:rFonts w:ascii="Segoe UI" w:hAnsi="Segoe UI" w:eastAsia="微软雅黑"/>
          <w:b w:val="0"/>
          <w:color w:val="2B2F38"/>
          <w:sz w:val="21"/>
        </w:rPr>
        <w:t>：墨卡托投影把经纬度换算为世界像素坐标，按缩放级别请求 256px 瓦片并拼接。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 xml:space="preserve">瓦片源　</w:t>
      </w:r>
      <w:r>
        <w:rPr>
          <w:rFonts w:ascii="Segoe UI" w:hAnsi="Segoe UI" w:eastAsia="微软雅黑"/>
          <w:b w:val="0"/>
          <w:color w:val="2B2F38"/>
          <w:sz w:val="21"/>
        </w:rPr>
        <w:t>：高德瓦片为主，加载失败自动降级 OpenStreetMap。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 xml:space="preserve">坐标系转换　</w:t>
      </w:r>
      <w:r>
        <w:rPr>
          <w:rFonts w:ascii="Segoe UI" w:hAnsi="Segoe UI" w:eastAsia="微软雅黑"/>
          <w:b w:val="0"/>
          <w:color w:val="2B2F38"/>
          <w:sz w:val="21"/>
        </w:rPr>
        <w:t>：系统定位返回 WGS84，高德瓦片使用 GCJ-02，两者混用会整体偏移数百米，内置双向转换。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 xml:space="preserve">叠加层　</w:t>
      </w:r>
      <w:r>
        <w:rPr>
          <w:rFonts w:ascii="Segoe UI" w:hAnsi="Segoe UI" w:eastAsia="微软雅黑"/>
          <w:b w:val="0"/>
          <w:color w:val="2B2F38"/>
          <w:sz w:val="21"/>
        </w:rPr>
        <w:t>：展会平面图按经纬度包围盒拉伸叠加，路径用 SVG 曲线绘制，均随缩放同步。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B2F38"/>
          <w:sz w:val="23"/>
        </w:rPr>
        <w:t>3.3　方向指向（重点）</w:t>
      </w:r>
    </w:p>
    <w:p>
      <w:pPr>
        <w:spacing w:before="0" w:after="12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这是整个项目投入最大、也最容易出问题的部分。浏览器的方向数据原始且不可靠，需要做四层处理。</w:t>
      </w:r>
    </w:p>
    <w:p>
      <w:pPr>
        <w:spacing w:before="0" w:after="60" w:line="372" w:lineRule="auto"/>
      </w:pPr>
      <w:r>
        <w:rPr>
          <w:rFonts w:ascii="Segoe UI" w:hAnsi="Segoe UI" w:eastAsia="微软雅黑"/>
          <w:b/>
          <w:color w:val="2B2F38"/>
          <w:sz w:val="21"/>
        </w:rPr>
        <w:t>第一层：选择数据源</w:t>
      </w:r>
    </w:p>
    <w:p>
      <w:pPr>
        <w:spacing w:before="0" w:after="8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按可靠性排序，优先使用系统已融合的绝对方向：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>iOS · webkitCompassHeading</w:t>
      </w:r>
      <w:r>
        <w:rPr>
          <w:rFonts w:ascii="Segoe UI" w:hAnsi="Segoe UI" w:eastAsia="微软雅黑"/>
          <w:b w:val="0"/>
          <w:color w:val="2B2F38"/>
          <w:sz w:val="21"/>
        </w:rPr>
        <w:t>（系统融合，真北，最可靠）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>Android · deviceorientationabsolute</w:t>
      </w:r>
      <w:r>
        <w:rPr>
          <w:rFonts w:ascii="Segoe UI" w:hAnsi="Segoe UI" w:eastAsia="微软雅黑"/>
          <w:b w:val="0"/>
          <w:color w:val="2B2F38"/>
          <w:sz w:val="21"/>
        </w:rPr>
        <w:t>（绝对 alpha，真北）</w:t>
      </w:r>
    </w:p>
    <w:p>
      <w:pPr>
        <w:pStyle w:val="ListBullet"/>
        <w:spacing w:before="0" w:after="80" w:line="360" w:lineRule="auto"/>
        <w:ind w:left="425"/>
      </w:pPr>
      <w:r>
        <w:rPr>
          <w:rFonts w:ascii="Segoe UI" w:hAnsi="Segoe UI" w:eastAsia="微软雅黑"/>
          <w:b/>
          <w:color w:val="2B2F38"/>
          <w:sz w:val="21"/>
        </w:rPr>
        <w:t>Android · deviceorientation</w:t>
      </w:r>
      <w:r>
        <w:rPr>
          <w:rFonts w:ascii="Segoe UI" w:hAnsi="Segoe UI" w:eastAsia="微软雅黑"/>
          <w:b w:val="0"/>
          <w:color w:val="2B2F38"/>
          <w:sz w:val="21"/>
        </w:rPr>
        <w:t>（相对 alpha，基准为打开页面时的朝向，界面标注「≈」）</w:t>
      </w:r>
    </w:p>
    <w:p>
      <w:pPr>
        <w:spacing w:before="40" w:after="160" w:line="372" w:lineRule="auto"/>
      </w:pPr>
      <w:r>
        <w:rPr>
          <w:rFonts w:ascii="Segoe UI" w:hAnsi="Segoe UI" w:eastAsia="微软雅黑"/>
          <w:b w:val="0"/>
          <w:color w:val="6B7280"/>
          <w:sz w:val="19"/>
        </w:rPr>
        <w:t>规则：绝对方向一旦出现，立即丢弃所有相对事件——两者交替覆盖会产生固定角度偏差。</w:t>
      </w:r>
    </w:p>
    <w:p>
      <w:pPr>
        <w:spacing w:before="0" w:after="60" w:line="372" w:lineRule="auto"/>
      </w:pPr>
      <w:r>
        <w:rPr>
          <w:rFonts w:ascii="Segoe UI" w:hAnsi="Segoe UI" w:eastAsia="微软雅黑"/>
          <w:b/>
          <w:color w:val="2B2F38"/>
          <w:sz w:val="21"/>
        </w:rPr>
        <w:t>第二层：解算角度</w:t>
      </w:r>
    </w:p>
    <w:p>
      <w:pPr>
        <w:spacing w:before="0" w:after="8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不能直接用 alpha 换算（只在手机平放时成立）。改用旋转矩阵，把设备的两根轴转到地理坐标系，再取水平投影的方位角：</w:t>
      </w:r>
    </w:p>
    <w:p>
      <w:pPr>
        <w:spacing w:before="0" w:after="80" w:line="372" w:lineRule="auto"/>
        <w:jc w:val="center"/>
      </w:pPr>
      <w:r>
        <w:rPr>
          <w:rFonts w:ascii="Segoe UI" w:hAnsi="Segoe UI" w:eastAsia="微软雅黑"/>
          <w:b/>
          <w:color w:val="2B2F38"/>
          <w:sz w:val="20"/>
        </w:rPr>
        <w:t>R = Rz(alpha) · Rx(beta) · Ry(gamma)</w:t>
      </w:r>
    </w:p>
    <w:p>
      <w:pPr>
        <w:spacing w:before="0" w:after="16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平放时顶部轴水平、背面法线垂直；竖起时正好相反。两根轴按「背面法线偏离垂直的程度」做矢量加权融合，而不是在两者之间硬切换。实测硬切换在倾角临界区（约 45°）两轴方位角最多相差 84°，手部轻微抖动就会跳变，表现为「指针自转」；改融合后倾角 0→90° 扫描，单步最大跳变 0.25°。</w:t>
      </w:r>
    </w:p>
    <w:p>
      <w:pPr>
        <w:spacing w:before="0" w:after="80" w:line="372" w:lineRule="auto"/>
      </w:pPr>
      <w:r>
        <w:rPr>
          <w:rFonts w:ascii="Segoe UI" w:hAnsi="Segoe UI" w:eastAsia="微软雅黑"/>
          <w:b/>
          <w:color w:val="2B2F38"/>
          <w:sz w:val="21"/>
        </w:rPr>
        <w:t>第三层：稳定性处理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5EC"/>
          <w:left w:val="single" w:sz="4" w:space="0" w:color="E2E5EC"/>
          <w:bottom w:val="single" w:sz="4" w:space="0" w:color="E2E5EC"/>
          <w:right w:val="single" w:sz="4" w:space="0" w:color="E2E5EC"/>
          <w:insideH w:val="single" w:sz="4" w:space="0" w:color="E2E5EC"/>
          <w:insideV w:val="single" w:sz="4" w:space="0" w:color="E2E5EC"/>
        </w:tblBorders>
      </w:tblPr>
      <w:tblGrid>
        <w:gridCol w:w="3061"/>
        <w:gridCol w:w="3061"/>
        <w:gridCol w:w="3061"/>
      </w:tblGrid>
      <w:tr>
        <w:tc>
          <w:tcPr>
            <w:tcW w:type="dxa" w:w="1814"/>
            <w:shd w:val="clear" w:color="auto" w:fill="FDEDF3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/>
                <w:color w:val="2B2F38"/>
                <w:sz w:val="19"/>
              </w:rPr>
              <w:t>处理</w:t>
            </w:r>
          </w:p>
        </w:tc>
        <w:tc>
          <w:tcPr>
            <w:tcW w:type="dxa" w:w="4309"/>
            <w:shd w:val="clear" w:color="auto" w:fill="FDEDF3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/>
                <w:color w:val="2B2F38"/>
                <w:sz w:val="19"/>
              </w:rPr>
              <w:t>做法</w:t>
            </w:r>
          </w:p>
        </w:tc>
        <w:tc>
          <w:tcPr>
            <w:tcW w:type="dxa" w:w="3061"/>
            <w:shd w:val="clear" w:color="auto" w:fill="FDEDF3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/>
                <w:color w:val="2B2F38"/>
                <w:sz w:val="19"/>
              </w:rPr>
              <w:t>解决的问题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圆周平滑</w:t>
            </w:r>
          </w:p>
        </w:tc>
        <w:tc>
          <w:tcPr>
            <w:tcW w:type="dxa" w:w="4309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在 (sin, cos) 向量域做指数平滑，不在角度域插值</w:t>
            </w:r>
          </w:p>
        </w:tc>
        <w:tc>
          <w:tcPr>
            <w:tcW w:type="dxa" w:w="306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抖动、±180° 插值错误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跳变保护</w:t>
            </w:r>
          </w:p>
        </w:tc>
        <w:tc>
          <w:tcPr>
            <w:tcW w:type="dxa" w:w="4309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单帧超过 120° 且间隔小于 350ms 的跳变视为毛刺并丢弃</w:t>
            </w:r>
          </w:p>
        </w:tc>
        <w:tc>
          <w:tcPr>
            <w:tcW w:type="dxa" w:w="306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传感器偶发翻转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连续角度</w:t>
            </w:r>
          </w:p>
        </w:tc>
        <w:tc>
          <w:tcPr>
            <w:tcW w:type="dxa" w:w="4309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内部维护不取模的角度值，只把结果交给 CSS</w:t>
            </w:r>
          </w:p>
        </w:tc>
        <w:tc>
          <w:tcPr>
            <w:tcW w:type="dxa" w:w="306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359°→1° 时 CSS 反向旋转整圈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首帧保护</w:t>
            </w:r>
          </w:p>
        </w:tc>
        <w:tc>
          <w:tcPr>
            <w:tcW w:type="dxa" w:w="4309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等待绝对源、丢弃 0/0/0 空值、前 8 帧大跳变重置平滑</w:t>
            </w:r>
          </w:p>
        </w:tc>
        <w:tc>
          <w:tcPr>
            <w:tcW w:type="dxa" w:w="306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初始方向错误、需移动后才纠正</w:t>
            </w:r>
          </w:p>
        </w:tc>
      </w:tr>
      <w:tr>
        <w:tc>
          <w:tcPr>
            <w:tcW w:type="dxa" w:w="181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屏幕方向补偿</w:t>
            </w:r>
          </w:p>
        </w:tc>
        <w:tc>
          <w:tcPr>
            <w:tcW w:type="dxa" w:w="4309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减去 screen.orientation.angle</w:t>
            </w:r>
          </w:p>
        </w:tc>
        <w:tc>
          <w:tcPr>
            <w:tcW w:type="dxa" w:w="306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横屏时整体偏差 90°</w:t>
            </w:r>
          </w:p>
        </w:tc>
      </w:tr>
    </w:tbl>
    <w:p>
      <w:pPr>
        <w:spacing w:before="0" w:after="120" w:line="372" w:lineRule="auto"/>
      </w:pPr>
    </w:p>
    <w:p>
      <w:pPr>
        <w:spacing w:before="0" w:after="60" w:line="372" w:lineRule="auto"/>
      </w:pPr>
      <w:r>
        <w:rPr>
          <w:rFonts w:ascii="Segoe UI" w:hAnsi="Segoe UI" w:eastAsia="微软雅黑"/>
          <w:b/>
          <w:color w:val="2B2F38"/>
          <w:sz w:val="21"/>
        </w:rPr>
        <w:t>第四层：手动校准</w:t>
      </w:r>
    </w:p>
    <w:p>
      <w:pPr>
        <w:spacing w:before="0" w:after="8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设备磁力计基准差异无法靠算法消除，保留手动入口：左右翻转（应对 alpha 方向相反的机型）、角度偏移（±15° / ±90°），结果存入 localStorage，只影响本机。</w:t>
      </w:r>
    </w:p>
    <w:p>
      <w:pPr>
        <w:keepNext/>
        <w:spacing w:before="240" w:after="80"/>
      </w:pPr>
      <w:r>
        <w:rPr>
          <w:rFonts w:ascii="Segoe UI" w:hAnsi="Segoe UI" w:eastAsia="微软雅黑"/>
          <w:b/>
          <w:color w:val="2B2F38"/>
          <w:sz w:val="23"/>
        </w:rPr>
        <w:t>3.4　导航接入</w:t>
      </w:r>
    </w:p>
    <w:p>
      <w:pPr>
        <w:spacing w:before="0" w:after="8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Demo 没有重写导航能力，只提供接入钩子。点击「开始导航」时依次校验三个条件——是否已解锁、页面是否可见、是否在活动时间窗口内——通过后调用：</w:t>
      </w:r>
    </w:p>
    <w:p>
      <w:pPr>
        <w:spacing w:before="0" w:after="80" w:line="372" w:lineRule="auto"/>
        <w:jc w:val="center"/>
      </w:pPr>
      <w:r>
        <w:rPr>
          <w:rFonts w:ascii="Segoe UI" w:hAnsi="Segoe UI" w:eastAsia="微软雅黑"/>
          <w:b/>
          <w:color w:val="2B2F38"/>
          <w:sz w:val="20"/>
        </w:rPr>
        <w:t>window.ExpoMap_RoutePlan({ from, to })</w:t>
      </w:r>
    </w:p>
    <w:p>
      <w:pPr>
        <w:spacing w:before="0" w:after="12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把已有路径规划返回的折线点串替换占位曲线即可，其余交互（目的地图钉、距离与时间提示）已就绪。</w:t>
      </w:r>
    </w:p>
    <w:p>
      <w:pPr>
        <w:keepNext/>
        <w:spacing w:before="360" w:after="160"/>
        <w:pBdr>
          <w:bottom w:val="single" w:sz="6" w:space="4" w:color="E2E5EC"/>
        </w:pBdr>
      </w:pPr>
      <w:r>
        <w:rPr>
          <w:rFonts w:ascii="Segoe UI" w:hAnsi="Segoe UI" w:eastAsia="微软雅黑"/>
          <w:b/>
          <w:color w:val="FB7299"/>
          <w:sz w:val="30"/>
        </w:rPr>
        <w:t xml:space="preserve">04  </w:t>
      </w:r>
      <w:r>
        <w:rPr>
          <w:rFonts w:ascii="Segoe UI" w:hAnsi="Segoe UI" w:eastAsia="微软雅黑"/>
          <w:b/>
          <w:color w:val="2B2F38"/>
          <w:sz w:val="30"/>
        </w:rPr>
        <w:t>关键问题与解法</w:t>
      </w:r>
    </w:p>
    <w:p>
      <w:pPr>
        <w:spacing w:before="0" w:after="12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以下是开发过程中实际遇到并向产品侧可见的问题，建议直接纳入正式方案的风险项。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5EC"/>
          <w:left w:val="single" w:sz="4" w:space="0" w:color="E2E5EC"/>
          <w:bottom w:val="single" w:sz="4" w:space="0" w:color="E2E5EC"/>
          <w:right w:val="single" w:sz="4" w:space="0" w:color="E2E5EC"/>
          <w:insideH w:val="single" w:sz="4" w:space="0" w:color="E2E5EC"/>
          <w:insideV w:val="single" w:sz="4" w:space="0" w:color="E2E5EC"/>
        </w:tblBorders>
      </w:tblPr>
      <w:tblGrid>
        <w:gridCol w:w="3061"/>
        <w:gridCol w:w="3061"/>
        <w:gridCol w:w="3061"/>
      </w:tblGrid>
      <w:tr>
        <w:tc>
          <w:tcPr>
            <w:tcW w:type="dxa" w:w="2835"/>
            <w:shd w:val="clear" w:color="auto" w:fill="FDEDF3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/>
                <w:color w:val="2B2F38"/>
                <w:sz w:val="19"/>
              </w:rPr>
              <w:t>现象</w:t>
            </w:r>
          </w:p>
        </w:tc>
        <w:tc>
          <w:tcPr>
            <w:tcW w:type="dxa" w:w="3628"/>
            <w:shd w:val="clear" w:color="auto" w:fill="FDEDF3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/>
                <w:color w:val="2B2F38"/>
                <w:sz w:val="19"/>
              </w:rPr>
              <w:t>根因</w:t>
            </w:r>
          </w:p>
        </w:tc>
        <w:tc>
          <w:tcPr>
            <w:tcW w:type="dxa" w:w="2721"/>
            <w:shd w:val="clear" w:color="auto" w:fill="FDEDF3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/>
                <w:color w:val="2B2F38"/>
                <w:sz w:val="19"/>
              </w:rPr>
              <w:t>解法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位置整体偏移数百米</w:t>
            </w:r>
          </w:p>
        </w:tc>
        <w:tc>
          <w:tcPr>
            <w:tcW w:type="dxa" w:w="3628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WGS84 与 GCJ-02 混用</w:t>
            </w:r>
          </w:p>
        </w:tc>
        <w:tc>
          <w:tcPr>
            <w:tcW w:type="dxa" w:w="272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双向坐标转换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方向只在手机平放时准确</w:t>
            </w:r>
          </w:p>
        </w:tc>
        <w:tc>
          <w:tcPr>
            <w:tcW w:type="dxa" w:w="3628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直接使用 alpha 计算</w:t>
            </w:r>
          </w:p>
        </w:tc>
        <w:tc>
          <w:tcPr>
            <w:tcW w:type="dxa" w:w="272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旋转矩阵 + 倾角补偿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固定偏 45°</w:t>
            </w:r>
          </w:p>
        </w:tc>
        <w:tc>
          <w:tcPr>
            <w:tcW w:type="dxa" w:w="3628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绝对与相对事件交替覆盖</w:t>
            </w:r>
          </w:p>
        </w:tc>
        <w:tc>
          <w:tcPr>
            <w:tcW w:type="dxa" w:w="272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绝对源优先，丢弃相对事件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固定偏 180°</w:t>
            </w:r>
          </w:p>
        </w:tc>
        <w:tc>
          <w:tcPr>
            <w:tcW w:type="dxa" w:w="3628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部分机型倾角符号与标准相反</w:t>
            </w:r>
          </w:p>
        </w:tc>
        <w:tc>
          <w:tcPr>
            <w:tcW w:type="dxa" w:w="272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检测顶部轴朝下时自动翻转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绕一圈后指针乱转</w:t>
            </w:r>
          </w:p>
        </w:tc>
        <w:tc>
          <w:tcPr>
            <w:tcW w:type="dxa" w:w="3628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CSS 角度回绕</w:t>
            </w:r>
          </w:p>
        </w:tc>
        <w:tc>
          <w:tcPr>
            <w:tcW w:type="dxa" w:w="272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内部使用连续角度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轻微移动即自转</w:t>
            </w:r>
          </w:p>
        </w:tc>
        <w:tc>
          <w:tcPr>
            <w:tcW w:type="dxa" w:w="3628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两根轴在临界点硬切换</w:t>
            </w:r>
          </w:p>
        </w:tc>
        <w:tc>
          <w:tcPr>
            <w:tcW w:type="dxa" w:w="272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矢量加权融合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打开时方向错、动一下才对</w:t>
            </w:r>
          </w:p>
        </w:tc>
        <w:tc>
          <w:tcPr>
            <w:tcW w:type="dxa" w:w="3628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传感器仅在变化时上报，首帧空值被固化</w:t>
            </w:r>
          </w:p>
        </w:tc>
        <w:tc>
          <w:tcPr>
            <w:tcW w:type="dxa" w:w="2721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等待绝对源 + 丢弃空值 + 重置平滑</w:t>
            </w:r>
          </w:p>
        </w:tc>
      </w:tr>
    </w:tbl>
    <w:p>
      <w:pPr>
        <w:keepNext/>
        <w:spacing w:before="360" w:after="160"/>
        <w:pBdr>
          <w:bottom w:val="single" w:sz="6" w:space="4" w:color="E2E5EC"/>
        </w:pBdr>
      </w:pPr>
      <w:r>
        <w:rPr>
          <w:rFonts w:ascii="Segoe UI" w:hAnsi="Segoe UI" w:eastAsia="微软雅黑"/>
          <w:b/>
          <w:color w:val="FB7299"/>
          <w:sz w:val="30"/>
        </w:rPr>
        <w:t xml:space="preserve">05  </w:t>
      </w:r>
      <w:r>
        <w:rPr>
          <w:rFonts w:ascii="Segoe UI" w:hAnsi="Segoe UI" w:eastAsia="微软雅黑"/>
          <w:b/>
          <w:color w:val="2B2F38"/>
          <w:sz w:val="30"/>
        </w:rPr>
        <w:t>上线建议</w:t>
      </w:r>
    </w:p>
    <w:p>
      <w:pPr>
        <w:spacing w:before="0" w:after="60" w:line="372" w:lineRule="auto"/>
      </w:pPr>
      <w:r>
        <w:rPr>
          <w:rFonts w:ascii="Segoe UI" w:hAnsi="Segoe UI" w:eastAsia="微软雅黑"/>
          <w:b/>
          <w:color w:val="2B2F38"/>
          <w:sz w:val="21"/>
        </w:rPr>
        <w:t>一、方向计算下沉到原生</w:t>
      </w:r>
    </w:p>
    <w:p>
      <w:pPr>
        <w:spacing w:before="0" w:after="16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上述多层处理，本质是在弥补浏览器传感器原始数据的缺陷。若为 App 内嵌 H5，建议原生计算好感向角后传给页面；独立 App 直接使用 CLHeading（iOS）或 ROTATION_VECTOR（Android），可省去绝大部分兼容性成本。</w:t>
      </w:r>
    </w:p>
    <w:p>
      <w:pPr>
        <w:spacing w:before="0" w:after="60" w:line="372" w:lineRule="auto"/>
      </w:pPr>
      <w:r>
        <w:rPr>
          <w:rFonts w:ascii="Segoe UI" w:hAnsi="Segoe UI" w:eastAsia="微软雅黑"/>
          <w:b/>
          <w:color w:val="2B2F38"/>
          <w:sz w:val="21"/>
        </w:rPr>
        <w:t>二、室内定位需要另一套方案</w:t>
      </w:r>
    </w:p>
    <w:p>
      <w:pPr>
        <w:spacing w:before="0" w:after="16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展馆内 GPS 误差可达数十米，无法支撑「走到 A1 馆」级别的指引。可行组合是：场馆平面图（自绘）+ 二维码或蓝牙锚点确认位置 + 路网图寻路。其本质是静态地图上的路径规划，而非实时定位导航。</w:t>
      </w:r>
    </w:p>
    <w:p>
      <w:pPr>
        <w:spacing w:before="0" w:after="60" w:line="372" w:lineRule="auto"/>
      </w:pPr>
      <w:r>
        <w:rPr>
          <w:rFonts w:ascii="Segoe UI" w:hAnsi="Segoe UI" w:eastAsia="微软雅黑"/>
          <w:b/>
          <w:color w:val="2B2F38"/>
          <w:sz w:val="21"/>
        </w:rPr>
        <w:t>三、正式环境使用成熟地图 SDK</w:t>
      </w:r>
    </w:p>
    <w:p>
      <w:pPr>
        <w:spacing w:before="0" w:after="16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自研瓦片引擎的优势是零依赖、完全可控，适合原型验证。上线建议接入高德或腾讯 SDK，室内图、POI 检索、真实路径规划均为现成能力，可显著降低维护成本。</w:t>
      </w:r>
    </w:p>
    <w:p>
      <w:pPr>
        <w:keepNext/>
        <w:spacing w:before="360" w:after="160"/>
        <w:pBdr>
          <w:bottom w:val="single" w:sz="6" w:space="4" w:color="E2E5EC"/>
        </w:pBdr>
      </w:pPr>
      <w:r>
        <w:rPr>
          <w:rFonts w:ascii="Segoe UI" w:hAnsi="Segoe UI" w:eastAsia="微软雅黑"/>
          <w:b/>
          <w:color w:val="FB7299"/>
          <w:sz w:val="30"/>
        </w:rPr>
        <w:t xml:space="preserve">06  </w:t>
      </w:r>
      <w:r>
        <w:rPr>
          <w:rFonts w:ascii="Segoe UI" w:hAnsi="Segoe UI" w:eastAsia="微软雅黑"/>
          <w:b/>
          <w:color w:val="2B2F38"/>
          <w:sz w:val="30"/>
        </w:rPr>
        <w:t>附录：可配置项</w:t>
      </w:r>
    </w:p>
    <w:p>
      <w:pPr>
        <w:spacing w:before="0" w:after="120" w:line="372" w:lineRule="auto"/>
      </w:pPr>
      <w:r>
        <w:rPr>
          <w:rFonts w:ascii="Segoe UI" w:hAnsi="Segoe UI" w:eastAsia="微软雅黑"/>
          <w:b w:val="0"/>
          <w:color w:val="2B2F38"/>
          <w:sz w:val="21"/>
        </w:rPr>
        <w:t>以下参数集中在页面顶部的 CONFIG 对象中，无需改动逻辑即可调整：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5EC"/>
          <w:left w:val="single" w:sz="4" w:space="0" w:color="E2E5EC"/>
          <w:bottom w:val="single" w:sz="4" w:space="0" w:color="E2E5EC"/>
          <w:right w:val="single" w:sz="4" w:space="0" w:color="E2E5EC"/>
          <w:insideH w:val="single" w:sz="4" w:space="0" w:color="E2E5EC"/>
          <w:insideV w:val="single" w:sz="4" w:space="0" w:color="E2E5EC"/>
        </w:tblBorders>
      </w:tblPr>
      <w:tblGrid>
        <w:gridCol w:w="4592"/>
        <w:gridCol w:w="4592"/>
      </w:tblGrid>
      <w:tr>
        <w:tc>
          <w:tcPr>
            <w:tcW w:type="dxa" w:w="2494"/>
            <w:shd w:val="clear" w:color="auto" w:fill="FDEDF3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/>
                <w:color w:val="2B2F38"/>
                <w:sz w:val="19"/>
              </w:rPr>
              <w:t>配置项</w:t>
            </w:r>
          </w:p>
        </w:tc>
        <w:tc>
          <w:tcPr>
            <w:tcW w:type="dxa" w:w="6690"/>
            <w:shd w:val="clear" w:color="auto" w:fill="FDEDF3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/>
                <w:color w:val="2B2F38"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venues</w:t>
            </w:r>
          </w:p>
        </w:tc>
        <w:tc>
          <w:tcPr>
            <w:tcW w:type="dxa" w:w="6690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场地列表：名称、经纬度、解锁半径（正式场地 / 演示场地可切换）</w:t>
            </w:r>
          </w:p>
        </w:tc>
      </w:tr>
      <w:tr>
        <w:tc>
          <w:tcPr>
            <w:tcW w:type="dxa" w:w="249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activeVenue</w:t>
            </w:r>
          </w:p>
        </w:tc>
        <w:tc>
          <w:tcPr>
            <w:tcW w:type="dxa" w:w="6690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默认使用的场地</w:t>
            </w:r>
          </w:p>
        </w:tc>
      </w:tr>
      <w:tr>
        <w:tc>
          <w:tcPr>
            <w:tcW w:type="dxa" w:w="249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window</w:t>
            </w:r>
          </w:p>
        </w:tc>
        <w:tc>
          <w:tcPr>
            <w:tcW w:type="dxa" w:w="6690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活动起止时间，超出后地图整体不可用</w:t>
            </w:r>
          </w:p>
        </w:tc>
      </w:tr>
      <w:tr>
        <w:tc>
          <w:tcPr>
            <w:tcW w:type="dxa" w:w="249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overlayUrl</w:t>
            </w:r>
          </w:p>
        </w:tc>
        <w:tc>
          <w:tcPr>
            <w:tcW w:type="dxa" w:w="6690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展会平面图地址，留空则使用内置示例图</w:t>
            </w:r>
          </w:p>
        </w:tc>
      </w:tr>
      <w:tr>
        <w:tc>
          <w:tcPr>
            <w:tcW w:type="dxa" w:w="249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overlaySpanMeters</w:t>
            </w:r>
          </w:p>
        </w:tc>
        <w:tc>
          <w:tcPr>
            <w:tcW w:type="dxa" w:w="6690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平面图覆盖的边长（米），用于与实际场馆对齐</w:t>
            </w:r>
          </w:p>
        </w:tc>
      </w:tr>
      <w:tr>
        <w:tc>
          <w:tcPr>
            <w:tcW w:type="dxa" w:w="2494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lockShowsSelf</w:t>
            </w:r>
          </w:p>
        </w:tc>
        <w:tc>
          <w:tcPr>
            <w:tcW w:type="dxa" w:w="6690"/>
          </w:tcPr>
          <w:p>
            <w:pPr>
              <w:spacing w:before="60" w:after="60" w:line="324" w:lineRule="auto"/>
            </w:pPr>
            <w:r/>
            <w:r>
              <w:rPr>
                <w:rFonts w:ascii="Segoe UI" w:hAnsi="Segoe UI" w:eastAsia="微软雅黑"/>
                <w:b w:val="0"/>
                <w:color w:val="2B2F38"/>
                <w:sz w:val="19"/>
              </w:rPr>
              <w:t>未解锁时是否显示灰色自身点位（调试用）</w:t>
            </w:r>
          </w:p>
        </w:tc>
      </w:tr>
    </w:tbl>
    <w:p>
      <w:pPr>
        <w:spacing w:before="0" w:after="200" w:line="372" w:lineRule="auto"/>
      </w:pPr>
    </w:p>
    <w:p>
      <w:pPr>
        <w:spacing w:before="240"/>
      </w:pPr>
      <w:r>
        <w:rPr>
          <w:rFonts w:ascii="Segoe UI" w:hAnsi="Segoe UI" w:eastAsia="微软雅黑"/>
          <w:b w:val="0"/>
          <w:color w:val="6B7280"/>
          <w:sz w:val="18"/>
        </w:rPr>
        <w:t>Demo 地址：</w:t>
      </w:r>
      <w:r>
        <w:rPr>
          <w:rFonts w:ascii="Segoe UI" w:hAnsi="Segoe UI" w:eastAsia="微软雅黑"/>
          <w:b w:val="0"/>
          <w:color w:val="2F7BFF"/>
          <w:sz w:val="18"/>
        </w:rPr>
        <w:t>https://mreswn.github.io/expo-map-demo/</w:t>
      </w:r>
    </w:p>
    <w:sectPr w:rsidR="00FC693F" w:rsidRPr="0006063C" w:rsidSect="00034616"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color w:val="6B7280"/>
        <w:sz w:val="16"/>
      </w:rPr>
      <w:t xml:space="preserve">展会地图 Demo · 实现思路说明　　</w:t>
    </w:r>
    <w:r>
      <w:rPr>
        <w:rFonts w:ascii="Segoe UI" w:hAnsi="Segoe UI" w:eastAsia="微软雅黑"/>
        <w:b w:val="0"/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egoe UI" w:hAnsi="Segoe UI" w:eastAsia="微软雅黑"/>
        <w:b w:val="0"/>
        <w:color w:val="6B7280"/>
        <w:sz w:val="16"/>
      </w:rPr>
      <w:t xml:space="preserve"> / </w:t>
    </w:r>
    <w:r>
      <w:rPr>
        <w:rFonts w:ascii="Segoe UI" w:hAnsi="Segoe UI" w:eastAsia="微软雅黑"/>
        <w:b w:val="0"/>
        <w:color w:val="6B728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