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BioEntropy V1.0 补充信息</w:t>
      </w:r>
    </w:p>
    <w:p>
      <w:pPr>
        <w:pStyle w:val="Subtitle"/>
      </w:pPr>
      <w:r>
        <w:t>软件方法与统计量定义</w:t>
      </w:r>
    </w:p>
    <w:p>
      <w:pPr>
        <w:pStyle w:val="Heading1"/>
      </w:pPr>
      <w:r>
        <w:t>S1 适用范围与输入数据</w:t>
      </w:r>
    </w:p>
    <w:p>
      <w:r>
        <w:t>BioEntropy V1.0 用于计算相对于正常参照的多指标距离、协方差熵、距离衍生状态分数及辅助负担指标。独立的森林图模块先计算各动物模型内的标准化组间效应，再合并模型层面的效应量。两个模块的预处理和缺失值规则不同，以下分别说明。这些指标描述所测指标组合的统计特征，不能单独证明康复、治疗因果效应或生理学熵的变化。</w:t>
      </w:r>
    </w:p>
    <w:p>
      <w:r>
        <w:t>主流程的工作簿包括组别、样本编号和数值型检测指标列。纵向随访的各时间点分别提供，样本编号可跨时间点重复。无时间点后缀的动物工作簿被赋予内部标签 0W；该标签不代表实际采样一定发生在给药前。每次运行分别指定治疗组、比较组和正常参照。正常参照可以是正常个体样本，也可以是上传的上下限区间；只有区间上下限时，不能据此估计协方差矩阵。</w:t>
      </w:r>
    </w:p>
    <w:p>
      <w:r>
        <w:t>主流程在各时间点筛选数值型非缺失比例至少为 70%、且具有至少两个不同观测值的指标，再取各时间点合格指标的交集，要求至少保留两个指标。筛选基于该时间点的全部记录，不是在每个组内分别完成。距离分支还要求指标能与正常参照匹配，且正常参照中至少有三个非缺失观测值。下文以 pE 表示锚定预处理和协方差熵的指标数，以 pN 表示匹配后距离计算的指标数，以 n 表示某组某时间点的记录数，以 m 表示正常参照记录数；这些维度不一定相同。</w:t>
      </w:r>
    </w:p>
    <w:p>
      <w:pPr>
        <w:pStyle w:val="Heading1"/>
      </w:pPr>
      <w:r>
        <w:t>S2 锚定预处理</w:t>
      </w:r>
    </w:p>
    <w:p>
      <w:pPr>
        <w:keepNext/>
      </w:pPr>
      <w:r>
        <w:t>协方差熵和基线相对负担的预处理参数，使用第 0 周或最早可用时间点的全部组别一次性拟合。若某指标的非缺失锚定值均大于零，且样本偏度绝对值大于 1，则使用 ln(1+x) 变换；否则不取对数。变换后数值被限制在锚定数据的 q 和 1−q 分位数之间，默认 q=0.01。各时间点使用相同的拟合边界。标准化坐标为</w:t>
      </w:r>
    </w:p>
    <w:p>
      <w:pPr>
        <w:keepLines/>
        <w:spacing w:before="60" w:after="120"/>
        <w:jc w:val="center"/>
      </w:pPr>
      <m:oMathPara>
        <m:oMathParaPr>
          <m:jc m:val="center"/>
        </m:oMathParaPr>
        <m:oMath>
          <m:sSub>
            <m:e>
              <m:r>
                <m:rPr>
                  <m:sty m:val="p"/>
                </m:rPr>
                <w:rPr>
                  <w:rFonts w:ascii="Cambria Math" w:hAnsi="Cambria Math"/>
                  <w:sz w:val="22"/>
                </w:rPr>
                <m:t>z</m:t>
              </m:r>
            </m:e>
            <m:sub>
              <m:r>
                <m:rPr>
                  <m:sty m:val="p"/>
                </m:rPr>
                <w:rPr>
                  <w:rFonts w:ascii="Cambria Math" w:hAnsi="Cambria Math"/>
                  <w:sz w:val="22"/>
                </w:rPr>
                <m:t>ij</m:t>
              </m:r>
            </m:sub>
          </m:sSub>
          <m:r>
            <m:rPr>
              <m:sty m:val="p"/>
            </m:rPr>
            <w:rPr>
              <w:rFonts w:ascii="Cambria Math" w:hAnsi="Cambria Math"/>
              <w:sz w:val="22"/>
            </w:rPr>
            <m:t> = 0.6745 </m:t>
          </m:r>
          <m:f>
            <m:num>
              <m:sSub>
                <m:e>
                  <m:r>
                    <m:rPr>
                      <m:sty m:val="p"/>
                    </m:rPr>
                    <w:rPr>
                      <w:rFonts w:ascii="Cambria Math" w:hAnsi="Cambria Math"/>
                      <w:sz w:val="22"/>
                    </w:rPr>
                    <m:t>t̃</m:t>
                  </m:r>
                </m:e>
                <m:sub>
                  <m:r>
                    <m:rPr>
                      <m:sty m:val="p"/>
                    </m:rPr>
                    <w:rPr>
                      <w:rFonts w:ascii="Cambria Math" w:hAnsi="Cambria Math"/>
                      <w:sz w:val="22"/>
                    </w:rPr>
                    <m:t>ij</m:t>
                  </m:r>
                </m:sub>
              </m:sSub>
              <m:r>
                <m:rPr>
                  <m:sty m:val="p"/>
                </m:rPr>
                <w:rPr>
                  <w:rFonts w:ascii="Cambria Math" w:hAnsi="Cambria Math"/>
                  <w:sz w:val="22"/>
                </w:rPr>
                <m:t> − </m:t>
              </m:r>
              <m:sSub>
                <m:e>
                  <m:r>
                    <m:rPr>
                      <m:sty m:val="p"/>
                    </m:rPr>
                    <w:rPr>
                      <w:rFonts w:ascii="Cambria Math" w:hAnsi="Cambria Math"/>
                      <w:sz w:val="22"/>
                    </w:rPr>
                    <m:t>b</m:t>
                  </m:r>
                </m:e>
                <m:sub>
                  <m:r>
                    <m:rPr>
                      <m:sty m:val="p"/>
                    </m:rPr>
                    <w:rPr>
                      <w:rFonts w:ascii="Cambria Math" w:hAnsi="Cambria Math"/>
                      <w:sz w:val="22"/>
                    </w:rPr>
                    <m:t>j</m:t>
                  </m:r>
                </m:sub>
              </m:sSub>
            </m:num>
            <m:den>
              <m:sSub>
                <m:e>
                  <m:r>
                    <m:rPr>
                      <m:sty m:val="p"/>
                    </m:rPr>
                    <w:rPr>
                      <w:rFonts w:ascii="Cambria Math" w:hAnsi="Cambria Math"/>
                      <w:sz w:val="22"/>
                    </w:rPr>
                    <m:t>a</m:t>
                  </m:r>
                </m:e>
                <m:sub>
                  <m:r>
                    <m:rPr>
                      <m:sty m:val="p"/>
                    </m:rPr>
                    <w:rPr>
                      <w:rFonts w:ascii="Cambria Math" w:hAnsi="Cambria Math"/>
                      <w:sz w:val="22"/>
                    </w:rPr>
                    <m:t>j</m:t>
                  </m:r>
                </m:sub>
              </m:sSub>
            </m:den>
          </m:f>
          <m:r>
            <m:rPr>
              <m:sty m:val="p"/>
            </m:rPr>
            <w:rPr>
              <w:rFonts w:ascii="Cambria Math" w:hAnsi="Cambria Math"/>
              <w:sz w:val="22"/>
            </w:rPr>
            <m:t>    (S1)</m:t>
          </m:r>
        </m:oMath>
      </m:oMathPara>
    </w:p>
    <w:p>
      <w:r>
        <w:t>其中 t̃ 为截尾后的变换值，b 为截尾前锚定变换值的中位数，a 为其中位数绝对偏差（MAD）。当 a&lt;10⁻⁹ 时，依次尝试 IQR/1.349、样本标准差，必要时设为 1；系数 0.6745 保持不变。计算协方差熵时，剩余缺失值以该组、该时间点对应列的中位数填补。本步骤与 S3 的正常参照拟合是不同的处理分支。</w:t>
      </w:r>
    </w:p>
    <w:p>
      <w:r>
        <w:br w:type="page"/>
      </w:r>
    </w:p>
    <w:p>
      <w:pPr>
        <w:pStyle w:val="Heading1"/>
      </w:pPr>
      <w:r>
        <w:t>S3 正常参照距离</w:t>
      </w:r>
    </w:p>
    <w:p>
      <w:r>
        <w:t>正常参照马氏偏离度（NMD）使用独立的正常参照拟合分支，不直接使用公式 S1 的矩阵。指标依据规范化名称及已识别的别名匹配。该分支将研究数据和匹配正常数据合并判断：若非缺失值均大于零且偏度绝对值大于 1，则对两者采用相同的 ln(1+x) 变换。名称匹配以及血糖、血脂和 HbA1c 的单位换算启发规则，应结合检测信息核对；成功匹配不代表生物学含义或检测方法必然等同。</w:t>
      </w:r>
    </w:p>
    <w:p>
      <w:pPr>
        <w:keepNext/>
      </w:pPr>
      <w:r>
        <w:t>在各个变换后的正常参照指标内，以正常组中位数 ±4 MAD 限制用于拟合的参照值；尺度回退与 S2 相同，无效边界可采用 IQR 回退。该截尾针对拟合参照，不应用于研究样本。正常参照缺失值以截尾后的对应列中位数填补。随后由完成填补的变换矩阵拟合正常均值 μN 和 Ledoit–Wolf 协方差 ΣN。该估计器将经验协方差 S 向缩放的单位矩阵收缩 [1]：</w:t>
      </w:r>
    </w:p>
    <w:p>
      <w:pPr>
        <w:keepLines/>
        <w:spacing w:before="60" w:after="120"/>
        <w:jc w:val="center"/>
      </w:pPr>
      <m:oMathPara>
        <m:oMathParaPr>
          <m:jc m:val="center"/>
        </m:oMathParaPr>
        <m:oMath>
          <m:acc>
            <m:accPr>
              <m:chr m:val="̂"/>
            </m:accPr>
            <m:e>
              <m:r>
                <m:rPr>
                  <m:sty m:val="p"/>
                </m:rPr>
                <w:rPr>
                  <w:rFonts w:ascii="Cambria Math" w:hAnsi="Cambria Math"/>
                  <w:sz w:val="22"/>
                </w:rPr>
                <m:t>Σ</m:t>
              </m:r>
            </m:e>
          </m:acc>
          <m:r>
            <m:rPr>
              <m:sty m:val="p"/>
            </m:rPr>
            <w:rPr>
              <w:rFonts w:ascii="Cambria Math" w:hAnsi="Cambria Math"/>
              <w:sz w:val="22"/>
            </w:rPr>
            <m:t> = (1 − λ)S + λ </m:t>
          </m:r>
          <m:f>
            <m:num>
              <m:r>
                <m:rPr>
                  <m:sty m:val="p"/>
                </m:rPr>
                <w:rPr>
                  <w:rFonts w:ascii="Cambria Math" w:hAnsi="Cambria Math"/>
                  <w:sz w:val="22"/>
                </w:rPr>
                <m:t>tr(S)</m:t>
              </m:r>
            </m:num>
            <m:den>
              <m:r>
                <m:rPr>
                  <m:sty m:val="p"/>
                </m:rPr>
                <w:rPr>
                  <w:rFonts w:ascii="Cambria Math" w:hAnsi="Cambria Math"/>
                  <w:sz w:val="22"/>
                </w:rPr>
                <m:t>p</m:t>
              </m:r>
            </m:den>
          </m:f>
          <m:r>
            <m:rPr>
              <m:sty m:val="p"/>
            </m:rPr>
            <w:rPr>
              <w:rFonts w:ascii="Cambria Math" w:hAnsi="Cambria Math"/>
              <w:sz w:val="22"/>
            </w:rPr>
            <m:t> I</m:t>
          </m:r>
          <m:r>
            <m:rPr>
              <m:sty m:val="p"/>
            </m:rPr>
            <w:rPr>
              <w:rFonts w:ascii="Cambria Math" w:hAnsi="Cambria Math"/>
              <w:sz w:val="22"/>
            </w:rPr>
            <m:t>    (S2)</m:t>
          </m:r>
        </m:oMath>
      </m:oMathPara>
    </w:p>
    <w:p>
      <w:pPr>
        <w:keepNext/>
      </w:pPr>
      <w:r>
        <w:t>收缩强度 λ 由数据估计。协方差正则化用于稳定矩阵，本身不额外修改个体坐标，也不等同于抗异常值估计。此分支拟合协方差前不再逐列标准化为单位方差，因此指标单位、变换方式及保留的指标组合都属于分数定义的一部分。对于研究样本向量 yi，主距离为</w:t>
      </w:r>
    </w:p>
    <w:p>
      <w:pPr>
        <w:keepLines/>
        <w:spacing w:before="60" w:after="120"/>
        <w:jc w:val="center"/>
      </w:pPr>
      <m:oMathPara>
        <m:oMathParaPr>
          <m:jc m:val="center"/>
        </m:oMathParaPr>
        <m:oMath>
          <m:sSub>
            <m:e>
              <m:r>
                <m:rPr>
                  <m:sty m:val="p"/>
                </m:rPr>
                <w:rPr>
                  <w:rFonts w:ascii="Cambria Math" w:hAnsi="Cambria Math"/>
                  <w:sz w:val="22"/>
                </w:rPr>
                <m:t>D</m:t>
              </m:r>
            </m:e>
            <m:sub>
              <m:r>
                <m:rPr>
                  <m:sty m:val="p"/>
                </m:rPr>
                <w:rPr>
                  <w:rFonts w:ascii="Cambria Math" w:hAnsi="Cambria Math"/>
                  <w:sz w:val="22"/>
                </w:rPr>
                <m:t>i</m:t>
              </m:r>
            </m:sub>
          </m:sSub>
          <m:r>
            <m:rPr>
              <m:sty m:val="p"/>
            </m:rPr>
            <w:rPr>
              <w:rFonts w:ascii="Cambria Math" w:hAnsi="Cambria Math"/>
              <w:sz w:val="22"/>
            </w:rPr>
            <m:t> = </m:t>
          </m:r>
          <m:rad>
            <m:radPr>
              <m:degHide m:val="1"/>
            </m:radPr>
            <m:deg/>
            <m:e>
              <m:sSup>
                <m:e>
                  <m:d>
                    <m:dPr>
                      <m:begChr m:val="("/>
                      <m:endChr m:val=")"/>
                    </m:dPr>
                    <m:e>
                      <m:sSub>
                        <m:e>
                          <m:r>
                            <m:rPr>
                              <m:sty m:val="p"/>
                            </m:rPr>
                            <w:rPr>
                              <w:rFonts w:ascii="Cambria Math" w:hAnsi="Cambria Math"/>
                              <w:sz w:val="22"/>
                            </w:rPr>
                            <m:t>y</m:t>
                          </m:r>
                        </m:e>
                        <m:sub>
                          <m:r>
                            <m:rPr>
                              <m:sty m:val="p"/>
                            </m:rPr>
                            <w:rPr>
                              <w:rFonts w:ascii="Cambria Math" w:hAnsi="Cambria Math"/>
                              <w:sz w:val="22"/>
                            </w:rPr>
                            <m:t>i</m:t>
                          </m:r>
                        </m:sub>
                      </m:sSub>
                      <m:r>
                        <m:rPr>
                          <m:sty m:val="p"/>
                        </m:rPr>
                        <w:rPr>
                          <w:rFonts w:ascii="Cambria Math" w:hAnsi="Cambria Math"/>
                          <w:sz w:val="22"/>
                        </w:rPr>
                        <m:t> − </m:t>
                      </m:r>
                      <m:sSub>
                        <m:e>
                          <m:acc>
                            <m:accPr>
                              <m:chr m:val="̂"/>
                            </m:accPr>
                            <m:e>
                              <m:r>
                                <m:rPr>
                                  <m:sty m:val="p"/>
                                </m:rPr>
                                <w:rPr>
                                  <w:rFonts w:ascii="Cambria Math" w:hAnsi="Cambria Math"/>
                                  <w:sz w:val="22"/>
                                </w:rPr>
                                <m:t>μ</m:t>
                              </m:r>
                            </m:e>
                          </m:acc>
                        </m:e>
                        <m:sub>
                          <m:r>
                            <m:rPr>
                              <m:sty m:val="p"/>
                            </m:rPr>
                            <w:rPr>
                              <w:rFonts w:ascii="Cambria Math" w:hAnsi="Cambria Math"/>
                              <w:sz w:val="22"/>
                            </w:rPr>
                            <m:t>N</m:t>
                          </m:r>
                        </m:sub>
                      </m:sSub>
                    </m:e>
                  </m:d>
                </m:e>
                <m:sup>
                  <m:r>
                    <m:rPr>
                      <m:sty m:val="p"/>
                    </m:rPr>
                    <w:rPr>
                      <w:rFonts w:ascii="Cambria Math" w:hAnsi="Cambria Math"/>
                      <w:sz w:val="22"/>
                    </w:rPr>
                    <m:t>T</m:t>
                  </m:r>
                </m:sup>
              </m:sSup>
              <m:sSup>
                <m:e>
                  <m:sSub>
                    <m:e>
                      <m:acc>
                        <m:accPr>
                          <m:chr m:val="̂"/>
                        </m:accPr>
                        <m:e>
                          <m:r>
                            <m:rPr>
                              <m:sty m:val="p"/>
                            </m:rPr>
                            <w:rPr>
                              <w:rFonts w:ascii="Cambria Math" w:hAnsi="Cambria Math"/>
                              <w:sz w:val="22"/>
                            </w:rPr>
                            <m:t>Σ</m:t>
                          </m:r>
                        </m:e>
                      </m:acc>
                    </m:e>
                    <m:sub>
                      <m:r>
                        <m:rPr>
                          <m:sty m:val="p"/>
                        </m:rPr>
                        <w:rPr>
                          <w:rFonts w:ascii="Cambria Math" w:hAnsi="Cambria Math"/>
                          <w:sz w:val="22"/>
                        </w:rPr>
                        <m:t>N</m:t>
                      </m:r>
                    </m:sub>
                  </m:sSub>
                </m:e>
                <m:sup>
                  <m:r>
                    <m:rPr>
                      <m:sty m:val="p"/>
                    </m:rPr>
                    <w:rPr>
                      <w:rFonts w:ascii="Cambria Math" w:hAnsi="Cambria Math"/>
                      <w:sz w:val="22"/>
                    </w:rPr>
                    <m:t>−1</m:t>
                  </m:r>
                </m:sup>
              </m:sSup>
              <m:d>
                <m:dPr>
                  <m:begChr m:val="("/>
                  <m:endChr m:val=")"/>
                </m:dPr>
                <m:e>
                  <m:sSub>
                    <m:e>
                      <m:r>
                        <m:rPr>
                          <m:sty m:val="p"/>
                        </m:rPr>
                        <w:rPr>
                          <w:rFonts w:ascii="Cambria Math" w:hAnsi="Cambria Math"/>
                          <w:sz w:val="22"/>
                        </w:rPr>
                        <m:t>y</m:t>
                      </m:r>
                    </m:e>
                    <m:sub>
                      <m:r>
                        <m:rPr>
                          <m:sty m:val="p"/>
                        </m:rPr>
                        <w:rPr>
                          <w:rFonts w:ascii="Cambria Math" w:hAnsi="Cambria Math"/>
                          <w:sz w:val="22"/>
                        </w:rPr>
                        <m:t>i</m:t>
                      </m:r>
                    </m:sub>
                  </m:sSub>
                  <m:r>
                    <m:rPr>
                      <m:sty m:val="p"/>
                    </m:rPr>
                    <w:rPr>
                      <w:rFonts w:ascii="Cambria Math" w:hAnsi="Cambria Math"/>
                      <w:sz w:val="22"/>
                    </w:rPr>
                    <m:t> − </m:t>
                  </m:r>
                  <m:sSub>
                    <m:e>
                      <m:acc>
                        <m:accPr>
                          <m:chr m:val="̂"/>
                        </m:accPr>
                        <m:e>
                          <m:r>
                            <m:rPr>
                              <m:sty m:val="p"/>
                            </m:rPr>
                            <w:rPr>
                              <w:rFonts w:ascii="Cambria Math" w:hAnsi="Cambria Math"/>
                              <w:sz w:val="22"/>
                            </w:rPr>
                            <m:t>μ</m:t>
                          </m:r>
                        </m:e>
                      </m:acc>
                    </m:e>
                    <m:sub>
                      <m:r>
                        <m:rPr>
                          <m:sty m:val="p"/>
                        </m:rPr>
                        <w:rPr>
                          <w:rFonts w:ascii="Cambria Math" w:hAnsi="Cambria Math"/>
                          <w:sz w:val="22"/>
                        </w:rPr>
                        <m:t>N</m:t>
                      </m:r>
                    </m:sub>
                  </m:sSub>
                </m:e>
              </m:d>
            </m:e>
          </m:rad>
          <m:r>
            <m:rPr>
              <m:sty m:val="p"/>
            </m:rPr>
            <w:rPr>
              <w:rFonts w:ascii="Cambria Math" w:hAnsi="Cambria Math"/>
              <w:sz w:val="22"/>
            </w:rPr>
            <m:t>    (S3)</m:t>
          </m:r>
        </m:oMath>
      </m:oMathPara>
    </w:p>
    <w:p>
      <w:r>
        <w:t>研究样本中缺失或非有限的坐标用拟合的正常均值替代。因此，当某条记录的全部保留指标均缺失时，可能得到零距离；这是填补造成的结果，不能解释为观测到正常状态。主距离不进行 ±8 坐标封顶。NMD 与 NMD_covariance_raw 保存相同的个体距离，组水平 NMD 为个体距离的算术平均数。高于或低于正常中心都可能增大距离，因此接近参照不等于每项指标均发生有利方向的变化。</w:t>
      </w:r>
    </w:p>
    <w:p>
      <w:pPr>
        <w:keepNext/>
      </w:pPr>
      <w:r>
        <w:t>对角敏感性分数使用相同的变换值及正常均值，以截尾后正常参照非缺失值的样本标准差 sj 为尺度；无效或接近零的标准差以 1 替代。其公式为</w:t>
      </w:r>
    </w:p>
    <w:p>
      <w:pPr>
        <w:keepLines/>
        <w:spacing w:before="60" w:after="120"/>
        <w:jc w:val="center"/>
      </w:pPr>
      <m:oMathPara>
        <m:oMathParaPr>
          <m:jc m:val="center"/>
        </m:oMathParaPr>
        <m:oMath>
          <m:sSub>
            <m:e>
              <m:r>
                <m:rPr>
                  <m:sty m:val="p"/>
                </m:rPr>
                <w:rPr>
                  <w:rFonts w:ascii="Cambria Math" w:hAnsi="Cambria Math"/>
                  <w:sz w:val="22"/>
                </w:rPr>
                <m:t>D</m:t>
              </m:r>
            </m:e>
            <m:sub>
              <m:r>
                <m:rPr>
                  <m:sty m:val="p"/>
                </m:rPr>
                <w:rPr>
                  <w:rFonts w:ascii="Cambria Math" w:hAnsi="Cambria Math"/>
                  <w:sz w:val="22"/>
                </w:rPr>
                <m:t>i,diag</m:t>
              </m:r>
            </m:sub>
          </m:sSub>
          <m:r>
            <m:rPr>
              <m:sty m:val="p"/>
            </m:rPr>
            <w:rPr>
              <w:rFonts w:ascii="Cambria Math" w:hAnsi="Cambria Math"/>
              <w:sz w:val="22"/>
            </w:rPr>
            <m:t> = </m:t>
          </m:r>
          <m:rad>
            <m:radPr>
              <m:degHide m:val="1"/>
            </m:radPr>
            <m:deg/>
            <m:e>
              <m:nary>
                <m:naryPr>
                  <m:chr m:val="∑"/>
                  <m:limLoc m:val="subSup"/>
                </m:naryPr>
                <m:sub>
                  <m:r>
                    <m:rPr>
                      <m:sty m:val="p"/>
                    </m:rPr>
                    <w:rPr>
                      <w:rFonts w:ascii="Cambria Math" w:hAnsi="Cambria Math"/>
                      <w:sz w:val="22"/>
                    </w:rPr>
                    <m:t>j = 1</m:t>
                  </m:r>
                </m:sub>
                <m:sup>
                  <m:sSub>
                    <m:e>
                      <m:r>
                        <m:rPr>
                          <m:sty m:val="p"/>
                        </m:rPr>
                        <w:rPr>
                          <w:rFonts w:ascii="Cambria Math" w:hAnsi="Cambria Math"/>
                          <w:sz w:val="22"/>
                        </w:rPr>
                        <m:t>p</m:t>
                      </m:r>
                    </m:e>
                    <m:sub>
                      <m:r>
                        <m:rPr>
                          <m:sty m:val="p"/>
                        </m:rPr>
                        <w:rPr>
                          <w:rFonts w:ascii="Cambria Math" w:hAnsi="Cambria Math"/>
                          <w:sz w:val="22"/>
                        </w:rPr>
                        <m:t>N</m:t>
                      </m:r>
                    </m:sub>
                  </m:sSub>
                </m:sup>
                <m:e>
                  <m:sSup>
                    <m:e>
                      <m:r>
                        <m:rPr>
                          <m:sty m:val="p"/>
                        </m:rPr>
                        <w:rPr>
                          <w:rFonts w:ascii="Cambria Math" w:hAnsi="Cambria Math"/>
                          <w:sz w:val="22"/>
                        </w:rPr>
                        <m:t>clip</m:t>
                      </m:r>
                      <m:d>
                        <m:dPr>
                          <m:begChr m:val="("/>
                          <m:endChr m:val=")"/>
                        </m:dPr>
                        <m:e>
                          <m:f>
                            <m:num>
                              <m:sSub>
                                <m:e>
                                  <m:r>
                                    <m:rPr>
                                      <m:sty m:val="p"/>
                                    </m:rPr>
                                    <w:rPr>
                                      <w:rFonts w:ascii="Cambria Math" w:hAnsi="Cambria Math"/>
                                      <w:sz w:val="22"/>
                                    </w:rPr>
                                    <m:t>y</m:t>
                                  </m:r>
                                </m:e>
                                <m:sub>
                                  <m:r>
                                    <m:rPr>
                                      <m:sty m:val="p"/>
                                    </m:rPr>
                                    <w:rPr>
                                      <w:rFonts w:ascii="Cambria Math" w:hAnsi="Cambria Math"/>
                                      <w:sz w:val="22"/>
                                    </w:rPr>
                                    <m:t>ij</m:t>
                                  </m:r>
                                </m:sub>
                              </m:sSub>
                              <m:r>
                                <m:rPr>
                                  <m:sty m:val="p"/>
                                </m:rPr>
                                <w:rPr>
                                  <w:rFonts w:ascii="Cambria Math" w:hAnsi="Cambria Math"/>
                                  <w:sz w:val="22"/>
                                </w:rPr>
                                <m:t> − </m:t>
                              </m:r>
                              <m:sSub>
                                <m:e>
                                  <m:acc>
                                    <m:accPr>
                                      <m:chr m:val="̂"/>
                                    </m:accPr>
                                    <m:e>
                                      <m:r>
                                        <m:rPr>
                                          <m:sty m:val="p"/>
                                        </m:rPr>
                                        <w:rPr>
                                          <w:rFonts w:ascii="Cambria Math" w:hAnsi="Cambria Math"/>
                                          <w:sz w:val="22"/>
                                        </w:rPr>
                                        <m:t>μ</m:t>
                                      </m:r>
                                    </m:e>
                                  </m:acc>
                                </m:e>
                                <m:sub>
                                  <m:r>
                                    <m:rPr>
                                      <m:sty m:val="p"/>
                                    </m:rPr>
                                    <w:rPr>
                                      <w:rFonts w:ascii="Cambria Math" w:hAnsi="Cambria Math"/>
                                      <w:sz w:val="22"/>
                                    </w:rPr>
                                    <m:t>N,j</m:t>
                                  </m:r>
                                </m:sub>
                              </m:sSub>
                            </m:num>
                            <m:den>
                              <m:sSub>
                                <m:e>
                                  <m:r>
                                    <m:rPr>
                                      <m:sty m:val="p"/>
                                    </m:rPr>
                                    <w:rPr>
                                      <w:rFonts w:ascii="Cambria Math" w:hAnsi="Cambria Math"/>
                                      <w:sz w:val="22"/>
                                    </w:rPr>
                                    <m:t>s</m:t>
                                  </m:r>
                                </m:e>
                                <m:sub>
                                  <m:r>
                                    <m:rPr>
                                      <m:sty m:val="p"/>
                                    </m:rPr>
                                    <w:rPr>
                                      <w:rFonts w:ascii="Cambria Math" w:hAnsi="Cambria Math"/>
                                      <w:sz w:val="22"/>
                                    </w:rPr>
                                    <m:t>j</m:t>
                                  </m:r>
                                </m:sub>
                              </m:sSub>
                            </m:den>
                          </m:f>
                          <m:r>
                            <m:rPr>
                              <m:sty m:val="p"/>
                            </m:rPr>
                            <w:rPr>
                              <w:rFonts w:ascii="Cambria Math" w:hAnsi="Cambria Math"/>
                              <w:sz w:val="22"/>
                            </w:rPr>
                            <m:t>, −8, 8</m:t>
                          </m:r>
                        </m:e>
                      </m:d>
                    </m:e>
                    <m:sup>
                      <m:r>
                        <m:rPr>
                          <m:sty m:val="p"/>
                        </m:rPr>
                        <w:rPr>
                          <w:rFonts w:ascii="Cambria Math" w:hAnsi="Cambria Math"/>
                          <w:sz w:val="22"/>
                        </w:rPr>
                        <m:t>2</m:t>
                      </m:r>
                    </m:sup>
                  </m:sSup>
                </m:e>
              </m:nary>
            </m:e>
          </m:rad>
          <m:r>
            <m:rPr>
              <m:sty m:val="p"/>
            </m:rPr>
            <w:rPr>
              <w:rFonts w:ascii="Cambria Math" w:hAnsi="Cambria Math"/>
              <w:sz w:val="22"/>
            </w:rPr>
            <m:t>    (S4)</m:t>
          </m:r>
        </m:oMath>
      </m:oMathPara>
    </w:p>
    <w:p>
      <w:r>
        <w:t>该敏感性比较同时改变协方差处理和封顶规则，不能单独归因于相关性的影响。导出的 χ² 尾概率，以及 m&gt;pN+1 时提供的缩放 F 近似，属于描述性参考分布近似。由于涉及参照拟合、正则化和填补，不能将其当作精确校准的治疗比较 p 值。由拟合参照距离得到的分位数也不等同于临床正常范围。</w:t>
      </w:r>
    </w:p>
    <w:p>
      <w:r>
        <w:br w:type="page"/>
      </w:r>
    </w:p>
    <w:p>
      <w:pPr>
        <w:pStyle w:val="Heading1"/>
      </w:pPr>
      <w:r>
        <w:t>S4 熵与距离衍生状态分数</w:t>
      </w:r>
    </w:p>
    <w:p>
      <w:pPr>
        <w:keepNext/>
      </w:pPr>
      <w:r>
        <w:t>对于每个组别及时间点，使用锚定预处理并完成中位数填补的矩阵，单独拟合该组的 Ledoit–Wolf 协方差，再计算高斯协方差熵：</w:t>
      </w:r>
    </w:p>
    <w:p>
      <w:pPr>
        <w:keepLines/>
        <w:spacing w:before="60" w:after="120"/>
        <w:jc w:val="center"/>
      </w:pPr>
      <m:oMathPara>
        <m:oMathParaPr>
          <m:jc m:val="center"/>
        </m:oMathParaPr>
        <m:oMath>
          <m:sSub>
            <m:e>
              <m:r>
                <m:rPr>
                  <m:sty m:val="p"/>
                </m:rPr>
                <w:rPr>
                  <w:rFonts w:ascii="Cambria Math" w:hAnsi="Cambria Math"/>
                  <w:sz w:val="22"/>
                </w:rPr>
                <m:t>H</m:t>
              </m:r>
            </m:e>
            <m:sub>
              <m:r>
                <m:rPr>
                  <m:sty m:val="p"/>
                </m:rPr>
                <w:rPr>
                  <w:rFonts w:ascii="Cambria Math" w:hAnsi="Cambria Math"/>
                  <w:sz w:val="22"/>
                </w:rPr>
                <m:t>cov,g</m:t>
              </m:r>
            </m:sub>
          </m:sSub>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2</m:t>
              </m:r>
            </m:den>
          </m:f>
          <m:r>
            <m:rPr>
              <m:sty m:val="p"/>
            </m:rPr>
            <w:rPr>
              <w:rFonts w:ascii="Cambria Math" w:hAnsi="Cambria Math"/>
              <w:sz w:val="22"/>
            </w:rPr>
            <m:t> ln </m:t>
          </m:r>
          <m:d>
            <m:dPr>
              <m:begChr m:val="|"/>
              <m:endChr m:val="|"/>
            </m:dPr>
            <m:e>
              <m:sSub>
                <m:e>
                  <m:acc>
                    <m:accPr>
                      <m:chr m:val="̂"/>
                    </m:accPr>
                    <m:e>
                      <m:r>
                        <m:rPr>
                          <m:sty m:val="p"/>
                        </m:rPr>
                        <w:rPr>
                          <w:rFonts w:ascii="Cambria Math" w:hAnsi="Cambria Math"/>
                          <w:sz w:val="22"/>
                        </w:rPr>
                        <m:t>Σ</m:t>
                      </m:r>
                    </m:e>
                  </m:acc>
                </m:e>
                <m:sub>
                  <m:r>
                    <m:rPr>
                      <m:sty m:val="p"/>
                    </m:rPr>
                    <w:rPr>
                      <w:rFonts w:ascii="Cambria Math" w:hAnsi="Cambria Math"/>
                      <w:sz w:val="22"/>
                    </w:rPr>
                    <m:t>g</m:t>
                  </m:r>
                </m:sub>
              </m:sSub>
            </m:e>
          </m:d>
          <m:r>
            <m:rPr>
              <m:sty m:val="p"/>
            </m:rPr>
            <w:rPr>
              <w:rFonts w:ascii="Cambria Math" w:hAnsi="Cambria Math"/>
              <w:sz w:val="22"/>
            </w:rPr>
            <m:t> + </m:t>
          </m:r>
          <m:f>
            <m:num>
              <m:sSub>
                <m:e>
                  <m:r>
                    <m:rPr>
                      <m:sty m:val="p"/>
                    </m:rPr>
                    <w:rPr>
                      <w:rFonts w:ascii="Cambria Math" w:hAnsi="Cambria Math"/>
                      <w:sz w:val="22"/>
                    </w:rPr>
                    <m:t>p</m:t>
                  </m:r>
                </m:e>
                <m:sub>
                  <m:r>
                    <m:rPr>
                      <m:sty m:val="p"/>
                    </m:rPr>
                    <w:rPr>
                      <w:rFonts w:ascii="Cambria Math" w:hAnsi="Cambria Math"/>
                      <w:sz w:val="22"/>
                    </w:rPr>
                    <m:t>E</m:t>
                  </m:r>
                </m:sub>
              </m:sSub>
            </m:num>
            <m:den>
              <m:r>
                <m:rPr>
                  <m:sty m:val="p"/>
                </m:rPr>
                <w:rPr>
                  <w:rFonts w:ascii="Cambria Math" w:hAnsi="Cambria Math"/>
                  <w:sz w:val="22"/>
                </w:rPr>
                <m:t>2</m:t>
              </m:r>
            </m:den>
          </m:f>
          <m:r>
            <m:rPr>
              <m:sty m:val="p"/>
            </m:rPr>
            <w:rPr>
              <w:rFonts w:ascii="Cambria Math" w:hAnsi="Cambria Math"/>
              <w:sz w:val="22"/>
            </w:rPr>
            <m:t> ln(2πe)</m:t>
          </m:r>
          <m:r>
            <m:rPr>
              <m:sty m:val="p"/>
            </m:rPr>
            <w:rPr>
              <w:rFonts w:ascii="Cambria Math" w:hAnsi="Cambria Math"/>
              <w:sz w:val="22"/>
            </w:rPr>
            <m:t>    (S5)</m:t>
          </m:r>
        </m:oMath>
      </m:oMathPara>
    </w:p>
    <w:p>
      <w:r>
        <w:t>使用自然对数，单位为所规定变换坐标下的 nat。该量是拟合高斯协方差模型的熵，不是无需分布假设的生物无序程度估计。记录数少于两个时不定义该估计。若数值计算中协方差行列式非正，程序回退为对大于 10⁻¹⁰ 的特征值取对数求和；这属于数值处理规则。Entropy_covariance、Entropy_raw 和 Entropy_robust_covariance 保存相同的协方差熵估计，字段名称不表示未进行预处理，也不表示使用了不同估计器。</w:t>
      </w:r>
    </w:p>
    <w:p>
      <w:pPr>
        <w:keepNext/>
      </w:pPr>
      <w:r>
        <w:t>软件还根据距离相对于零点的二阶矩计算组水平状态分数：</w:t>
      </w:r>
    </w:p>
    <w:p>
      <w:pPr>
        <w:keepLines/>
        <w:spacing w:before="60" w:after="120"/>
        <w:jc w:val="center"/>
      </w:pPr>
      <m:oMathPara>
        <m:oMathParaPr>
          <m:jc m:val="center"/>
        </m:oMathParaPr>
        <m:oMath>
          <m:sSub>
            <m:e>
              <m:r>
                <m:rPr>
                  <m:sty m:val="p"/>
                </m:rPr>
                <w:rPr>
                  <w:rFonts w:ascii="Cambria Math" w:hAnsi="Cambria Math"/>
                  <w:sz w:val="22"/>
                </w:rPr>
                <m:t>H</m:t>
              </m:r>
            </m:e>
            <m:sub>
              <m:r>
                <m:rPr>
                  <m:sty m:val="p"/>
                </m:rPr>
                <w:rPr>
                  <w:rFonts w:ascii="Cambria Math" w:hAnsi="Cambria Math"/>
                  <w:sz w:val="22"/>
                </w:rPr>
                <m:t>state,g</m:t>
              </m:r>
            </m:sub>
          </m:sSub>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2</m:t>
              </m:r>
            </m:den>
          </m:f>
          <m:r>
            <m:rPr>
              <m:sty m:val="p"/>
            </m:rPr>
            <w:rPr>
              <w:rFonts w:ascii="Cambria Math" w:hAnsi="Cambria Math"/>
              <w:sz w:val="22"/>
            </w:rPr>
            <m:t> ln </m:t>
          </m:r>
          <m:d>
            <m:dPr>
              <m:begChr m:val="("/>
              <m:endChr m:val=")"/>
            </m:dPr>
            <m:e>
              <m:f>
                <m:num>
                  <m:r>
                    <m:rPr>
                      <m:sty m:val="p"/>
                    </m:rPr>
                    <w:rPr>
                      <w:rFonts w:ascii="Cambria Math" w:hAnsi="Cambria Math"/>
                      <w:sz w:val="22"/>
                    </w:rPr>
                    <m:t>1</m:t>
                  </m:r>
                </m:num>
                <m:den>
                  <m:sSub>
                    <m:e>
                      <m:r>
                        <m:rPr>
                          <m:sty m:val="p"/>
                        </m:rPr>
                        <w:rPr>
                          <w:rFonts w:ascii="Cambria Math" w:hAnsi="Cambria Math"/>
                          <w:sz w:val="22"/>
                        </w:rPr>
                        <m:t>n</m:t>
                      </m:r>
                    </m:e>
                    <m:sub>
                      <m:r>
                        <m:rPr>
                          <m:sty m:val="p"/>
                        </m:rPr>
                        <w:rPr>
                          <w:rFonts w:ascii="Cambria Math" w:hAnsi="Cambria Math"/>
                          <w:sz w:val="22"/>
                        </w:rPr>
                        <m:t>g</m:t>
                      </m:r>
                    </m:sub>
                  </m:sSub>
                </m:den>
              </m:f>
              <m:nary>
                <m:naryPr>
                  <m:chr m:val="∑"/>
                  <m:limLoc m:val="subSup"/>
                </m:naryPr>
                <m:sub>
                  <m:r>
                    <m:rPr>
                      <m:sty m:val="p"/>
                    </m:rPr>
                    <w:rPr>
                      <w:rFonts w:ascii="Cambria Math" w:hAnsi="Cambria Math"/>
                      <w:sz w:val="22"/>
                    </w:rPr>
                    <m:t>i = 1</m:t>
                  </m:r>
                </m:sub>
                <m:sup>
                  <m:sSub>
                    <m:e>
                      <m:r>
                        <m:rPr>
                          <m:sty m:val="p"/>
                        </m:rPr>
                        <w:rPr>
                          <w:rFonts w:ascii="Cambria Math" w:hAnsi="Cambria Math"/>
                          <w:sz w:val="22"/>
                        </w:rPr>
                        <m:t>n</m:t>
                      </m:r>
                    </m:e>
                    <m:sub>
                      <m:r>
                        <m:rPr>
                          <m:sty m:val="p"/>
                        </m:rPr>
                        <w:rPr>
                          <w:rFonts w:ascii="Cambria Math" w:hAnsi="Cambria Math"/>
                          <w:sz w:val="22"/>
                        </w:rPr>
                        <m:t>g</m:t>
                      </m:r>
                    </m:sub>
                  </m:sSub>
                </m:sup>
                <m:e>
                  <m:sSup>
                    <m:e>
                      <m:sSub>
                        <m:e>
                          <m:r>
                            <m:rPr>
                              <m:sty m:val="p"/>
                            </m:rPr>
                            <w:rPr>
                              <w:rFonts w:ascii="Cambria Math" w:hAnsi="Cambria Math"/>
                              <w:sz w:val="22"/>
                            </w:rPr>
                            <m:t>D</m:t>
                          </m:r>
                        </m:e>
                        <m:sub>
                          <m:r>
                            <m:rPr>
                              <m:sty m:val="p"/>
                            </m:rPr>
                            <w:rPr>
                              <w:rFonts w:ascii="Cambria Math" w:hAnsi="Cambria Math"/>
                              <w:sz w:val="22"/>
                            </w:rPr>
                            <m:t>i</m:t>
                          </m:r>
                        </m:sub>
                      </m:sSub>
                    </m:e>
                    <m:sup>
                      <m:r>
                        <m:rPr>
                          <m:sty m:val="p"/>
                        </m:rPr>
                        <w:rPr>
                          <w:rFonts w:ascii="Cambria Math" w:hAnsi="Cambria Math"/>
                          <w:sz w:val="22"/>
                        </w:rPr>
                        <m:t>2</m:t>
                      </m:r>
                    </m:sup>
                  </m:sSup>
                </m:e>
              </m:nary>
            </m:e>
          </m:d>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2</m:t>
              </m:r>
            </m:den>
          </m:f>
          <m:r>
            <m:rPr>
              <m:sty m:val="p"/>
            </m:rPr>
            <w:rPr>
              <w:rFonts w:ascii="Cambria Math" w:hAnsi="Cambria Math"/>
              <w:sz w:val="22"/>
            </w:rPr>
            <m:t> ln(2πe)</m:t>
          </m:r>
          <m:r>
            <m:rPr>
              <m:sty m:val="p"/>
            </m:rPr>
            <w:rPr>
              <w:rFonts w:ascii="Cambria Math" w:hAnsi="Cambria Math"/>
              <w:sz w:val="22"/>
            </w:rPr>
            <m:t>    (S6)</m:t>
          </m:r>
        </m:oMath>
      </m:oMathPara>
    </w:p>
    <w:p>
      <w:r>
        <w:t>该分数要求至少两个非缺失距离，且距离平方均值为正的有限值。它不是观测距离分布的微分熵。由于平方均值等于均值的平方加上以 n 为分母的方差，该分数同时反映相对正常参照的偏移及组内离散程度，并与距离存在数学联系。协方差熵的公式不直接使用距离，两种量应分别命名。</w:t>
      </w:r>
    </w:p>
    <w:p>
      <w:r>
        <w:t>当公式 S6 有定义时，通用字段 Entropy 及其默认区间使用 Hstate，Entropy_method 标记为 normal_reference_state_entropy；否则回退到 Hcov，并标记为 ledoitwolf_covariance_entropy。独立的协方差熵列和参照状态分数列分别保留。比较或关联通用 Entropy 输出前，应核对方法字段；选用 Hstate 时，通用区间不是 Hcov 的区间。</w:t>
      </w:r>
    </w:p>
    <w:p>
      <w:pPr>
        <w:pStyle w:val="Heading1"/>
      </w:pPr>
      <w:r>
        <w:t>异常值质量控制</w:t>
      </w:r>
    </w:p>
    <w:p>
      <w:r>
        <w:t>质量控制保留稳健 z、IQR、孤立森林、局部异常因子和最小协方差行列式距离五种检测。稳健 z 阈值为 |z|&gt;4，IQR 边界为 1.5 IQR。孤立森林及局部异常因子要求 n≥5，使用 contamination=min(0.05,max(0.01,5/n))；后者邻居数为 min(20,max(2,floor(n/3)))。最小协方差行列式检测要求 n≥max(5,pE+1)，距离平方阈值为 χ²0.999,pE。无法执行或失败的检测不产生标记。至少两种方法标记为一致异常，至少四种标记为强异常。标记仅用于质量控制计数及比例报告，不删除样本或将个体坐标向组中心衰减；锚定截尾和缺失值处理仍然保留。</w:t>
      </w:r>
    </w:p>
    <w:p>
      <w:r>
        <w:t>诊断信息包括 n、pE、n/pE 和收缩强度。reliable（n/pE≥5）、limited（2≤n/pE&lt;5）及 low（n/pE&lt;2）是程序的经验提示，不是已验证的精度保证。样本量相对于维度较小时，即使矩阵可逆，协方差熵也可能对正则化较敏感。</w:t>
      </w:r>
    </w:p>
    <w:p>
      <w:r>
        <w:br w:type="page"/>
      </w:r>
    </w:p>
    <w:p>
      <w:pPr>
        <w:pStyle w:val="Heading1"/>
      </w:pPr>
      <w:r>
        <w:t>S5 辅助负担指标</w:t>
      </w:r>
    </w:p>
    <w:p>
      <w:pPr>
        <w:keepNext/>
      </w:pPr>
      <w:r>
        <w:t>基线相对负担指数（BRI，同时以 HDI 字段导出）对公式 S1 的 pE 个指标坐标作方向校正后求平均；缺失坐标按零计入。识别为 HDL-C 等有利指标时，方向系数为 −1；识别为不利指标或未识别名称时为 +1。程序先识别非 HDL 指标，再识别 HDL，避免子串误判。BRI 表示相对锚定人群的负担，不是绝对健康量表；方向规则需结合研究背景确认。</w:t>
      </w:r>
    </w:p>
    <w:p>
      <w:pPr>
        <w:keepLines/>
        <w:spacing w:before="60" w:after="120"/>
        <w:jc w:val="center"/>
      </w:pPr>
      <m:oMathPara>
        <m:oMathParaPr>
          <m:jc m:val="center"/>
        </m:oMathParaPr>
        <m:oMath>
          <m:sSub>
            <m:e>
              <m:r>
                <m:rPr>
                  <m:sty m:val="p"/>
                </m:rPr>
                <w:rPr>
                  <w:rFonts w:ascii="Cambria Math" w:hAnsi="Cambria Math"/>
                  <w:sz w:val="22"/>
                </w:rPr>
                <m:t>BRI</m:t>
              </m:r>
            </m:e>
            <m:sub>
              <m:r>
                <m:rPr>
                  <m:sty m:val="p"/>
                </m:rPr>
                <w:rPr>
                  <w:rFonts w:ascii="Cambria Math" w:hAnsi="Cambria Math"/>
                  <w:sz w:val="22"/>
                </w:rPr>
                <m:t>i</m:t>
              </m:r>
            </m:sub>
          </m:sSub>
          <m:r>
            <m:rPr>
              <m:sty m:val="p"/>
            </m:rPr>
            <w:rPr>
              <w:rFonts w:ascii="Cambria Math" w:hAnsi="Cambria Math"/>
              <w:sz w:val="22"/>
            </w:rPr>
            <m:t> = </m:t>
          </m:r>
          <m:f>
            <m:num>
              <m:r>
                <m:rPr>
                  <m:sty m:val="p"/>
                </m:rPr>
                <w:rPr>
                  <w:rFonts w:ascii="Cambria Math" w:hAnsi="Cambria Math"/>
                  <w:sz w:val="22"/>
                </w:rPr>
                <m:t>1</m:t>
              </m:r>
            </m:num>
            <m:den>
              <m:sSub>
                <m:e>
                  <m:r>
                    <m:rPr>
                      <m:sty m:val="p"/>
                    </m:rPr>
                    <w:rPr>
                      <w:rFonts w:ascii="Cambria Math" w:hAnsi="Cambria Math"/>
                      <w:sz w:val="22"/>
                    </w:rPr>
                    <m:t>p</m:t>
                  </m:r>
                </m:e>
                <m:sub>
                  <m:r>
                    <m:rPr>
                      <m:sty m:val="p"/>
                    </m:rPr>
                    <w:rPr>
                      <w:rFonts w:ascii="Cambria Math" w:hAnsi="Cambria Math"/>
                      <w:sz w:val="22"/>
                    </w:rPr>
                    <m:t>E</m:t>
                  </m:r>
                </m:sub>
              </m:sSub>
            </m:den>
          </m:f>
          <m:nary>
            <m:naryPr>
              <m:chr m:val="∑"/>
              <m:limLoc m:val="subSup"/>
            </m:naryPr>
            <m:sub>
              <m:r>
                <m:rPr>
                  <m:sty m:val="p"/>
                </m:rPr>
                <w:rPr>
                  <w:rFonts w:ascii="Cambria Math" w:hAnsi="Cambria Math"/>
                  <w:sz w:val="22"/>
                </w:rPr>
                <m:t>j = 1</m:t>
              </m:r>
            </m:sub>
            <m:sup>
              <m:sSub>
                <m:e>
                  <m:r>
                    <m:rPr>
                      <m:sty m:val="p"/>
                    </m:rPr>
                    <w:rPr>
                      <w:rFonts w:ascii="Cambria Math" w:hAnsi="Cambria Math"/>
                      <w:sz w:val="22"/>
                    </w:rPr>
                    <m:t>p</m:t>
                  </m:r>
                </m:e>
                <m:sub>
                  <m:r>
                    <m:rPr>
                      <m:sty m:val="p"/>
                    </m:rPr>
                    <w:rPr>
                      <w:rFonts w:ascii="Cambria Math" w:hAnsi="Cambria Math"/>
                      <w:sz w:val="22"/>
                    </w:rPr>
                    <m:t>E</m:t>
                  </m:r>
                </m:sub>
              </m:sSub>
            </m:sup>
            <m:e>
              <m:sSub>
                <m:e>
                  <m:r>
                    <m:rPr>
                      <m:sty m:val="p"/>
                    </m:rPr>
                    <w:rPr>
                      <w:rFonts w:ascii="Cambria Math" w:hAnsi="Cambria Math"/>
                      <w:sz w:val="22"/>
                    </w:rPr>
                    <m:t>s</m:t>
                  </m:r>
                </m:e>
                <m:sub>
                  <m:r>
                    <m:rPr>
                      <m:sty m:val="p"/>
                    </m:rPr>
                    <w:rPr>
                      <w:rFonts w:ascii="Cambria Math" w:hAnsi="Cambria Math"/>
                      <w:sz w:val="22"/>
                    </w:rPr>
                    <m:t>j</m:t>
                  </m:r>
                </m:sub>
              </m:sSub>
              <m:sSub>
                <m:e>
                  <m:r>
                    <m:rPr>
                      <m:sty m:val="p"/>
                    </m:rPr>
                    <w:rPr>
                      <w:rFonts w:ascii="Cambria Math" w:hAnsi="Cambria Math"/>
                      <w:sz w:val="22"/>
                    </w:rPr>
                    <m:t>z</m:t>
                  </m:r>
                </m:e>
                <m:sub>
                  <m:r>
                    <m:rPr>
                      <m:sty m:val="p"/>
                    </m:rPr>
                    <w:rPr>
                      <w:rFonts w:ascii="Cambria Math" w:hAnsi="Cambria Math"/>
                      <w:sz w:val="22"/>
                    </w:rPr>
                    <m:t>ij</m:t>
                  </m:r>
                </m:sub>
              </m:sSub>
            </m:e>
          </m:nary>
          <m:r>
            <m:rPr>
              <m:sty m:val="p"/>
            </m:rPr>
            <w:rPr>
              <w:rFonts w:ascii="Cambria Math" w:hAnsi="Cambria Math"/>
              <w:sz w:val="22"/>
            </w:rPr>
            <m:t>,    </m:t>
          </m:r>
          <m:sSub>
            <m:e>
              <m:r>
                <m:rPr>
                  <m:sty m:val="p"/>
                </m:rPr>
                <w:rPr>
                  <w:rFonts w:ascii="Cambria Math" w:hAnsi="Cambria Math"/>
                  <w:sz w:val="22"/>
                </w:rPr>
                <m:t>s</m:t>
              </m:r>
            </m:e>
            <m:sub>
              <m:r>
                <m:rPr>
                  <m:sty m:val="p"/>
                </m:rPr>
                <w:rPr>
                  <w:rFonts w:ascii="Cambria Math" w:hAnsi="Cambria Math"/>
                  <w:sz w:val="22"/>
                </w:rPr>
                <m:t>j</m:t>
              </m:r>
            </m:sub>
          </m:sSub>
          <m:r>
            <m:rPr>
              <m:sty m:val="p"/>
            </m:rPr>
            <w:rPr>
              <w:rFonts w:ascii="Cambria Math" w:hAnsi="Cambria Math"/>
              <w:sz w:val="22"/>
            </w:rPr>
            <m:t> ∈ {−1, +1}</m:t>
          </m:r>
          <m:r>
            <m:rPr>
              <m:sty m:val="p"/>
            </m:rPr>
            <w:rPr>
              <w:rFonts w:ascii="Cambria Math" w:hAnsi="Cambria Math"/>
              <w:sz w:val="22"/>
            </w:rPr>
            <m:t>    (S7)</m:t>
          </m:r>
        </m:oMath>
      </m:oMathPara>
    </w:p>
    <w:p>
      <w:r>
        <w:t>对于提供的正常区间，正常范围负担分数（NRBS）为各个已观测、已支持指标的 ln(1+相对超出量) 的平均值，NRPS=1/(1+NRBS)。双侧区间 [Lj,Uj] 内超出量为零，区间外至最近边界的距离除以 max(Uj−Lj,0.1|Uj|,0.1|Lj|,10⁻⁹)。仅有上限或下限时，超出该边界的距离除以 max(|边界|,10⁻⁹)。没有可用指标时不定义分数。符合面板回退条件、且无可用正常样本参照或上传区间时，可使用程序内置的成人区间；其适用人群与单位需要核对，不能作为动物正常范围。</w:t>
      </w:r>
    </w:p>
    <w:p>
      <w:pPr>
        <w:pStyle w:val="Heading1"/>
      </w:pPr>
      <w:r>
        <w:t>S6 不确定性与图形汇总</w:t>
      </w:r>
    </w:p>
    <w:p>
      <w:r>
        <w:t>名义 95% bootstrap 区间取重采样分布的第 2.5 和第 97.5 百分位数。组均值和选定 Entropy 使用 200 次重采样，治疗组减比较组的均值差使用 400 次，熵差使用 300 次，拟合正常参照的平均距离使用 500 次。基础随机种子为 42，并派生确定性种子。组内重采样保持原记录数，组间差分别对两组重采样。正常参照均值、协方差、变换、截尾和初次填补保持固定；Hcov 则在每次对预处理矩阵重采样后重新估计该组协方差。因此区间以已拟合预处理及参照为条件，未传播它们的全部估计不确定性。</w:t>
      </w:r>
    </w:p>
    <w:p>
      <w:r>
        <w:t>负担指标的组间比较另提供双侧 Mann–Whitney 检验。熵差导出的 bootstrap 符号汇总值，是重采样差值 ≤0 或 ≥0 的比例中较小者的两倍；它属于描述性符号比例统计量，不是另行在零假设下校准的重采样检验。Spearman 相关、时间点层面的线性趋势及实验内标准化后的合并相关属于探索性汇总，不是个体重复测量模型。部分 p 值家族采用 Benjamini–Hochberg 校正 [2]，校正列带有 fdr_bh 后缀；并非对全部输出统一进行一次校正。</w:t>
      </w:r>
    </w:p>
    <w:p>
      <w:r>
        <w:br w:type="page"/>
      </w:r>
    </w:p>
    <w:p>
      <w:pPr>
        <w:pStyle w:val="Heading1"/>
      </w:pPr>
      <w:r>
        <w:t>图形汇总与基线对齐</w:t>
      </w:r>
    </w:p>
    <w:p>
      <w:r>
        <w:t>软件保留原始组水平估计值及其既有区间。距离图显示 D 的均值；Entropy 图显示所选组水平分数，并通过方法字段区分 Hstate 与 Hcov。Entropy 图及组合图的 Entropy 部分不叠加 ln(D)+½ln(2πe) 个体散点：这些散点的均值一般不等于 Hstate，也不代表 Hcov 的个体贡献。个体 NMD、BRI 和 NRBS 原值仍保留在数据输出中。</w:t>
      </w:r>
    </w:p>
    <w:p>
      <w:r>
        <w:t>对于归一化水平图，每个指标根据该实验的有效组汇总行拟合一套锚点。正常组和模型组均值可用且不同时，分别定义 0 和 100；否则使用汇总值的最小值和最大值。组合图先要求两项绘图指标均有效，因此其锚点所用行可能与单指标图不同。线性指数 L 限制于 [0,100]；汇总值恒定时 L=50。常规归一化图使用 100(L/100)³，单时间点状态图（Fig08）使用线性 L。绘制个体散点时，NMD、BRI 或 NRBS 的散点和组估计值共享锚点、边界截断和显示变换；散点不再按自身范围拟合。多时间点组合图（Fig05）无个体散点，其单时间点版本可显示负担散点。变换后的组估计值通常不等于变换后散点的均值。线性值保留在导出数据中。</w:t>
      </w:r>
    </w:p>
    <w:p>
      <w:pPr>
        <w:keepNext/>
      </w:pPr>
      <w:r>
        <w:t>纵向主图09/10提供所选负担指标（NMD、NRBS或BRI）及Entropy的基线对齐归一化展示。令Xg,t为组g在时间t的原始组估计，bg为该组基线时间，B为符合条件各组基线的算术平均。对齐后的值为</w:t>
      </w:r>
    </w:p>
    <w:p>
      <w:pPr>
        <w:keepLines/>
        <w:spacing w:before="60" w:after="120"/>
        <w:jc w:val="center"/>
      </w:pPr>
      <m:oMathPara>
        <m:oMathParaPr>
          <m:jc m:val="center"/>
        </m:oMathParaPr>
        <m:oMath>
          <m:sSub>
            <m:e>
              <m:r>
                <m:rPr>
                  <m:sty m:val="p"/>
                </m:rPr>
                <w:rPr>
                  <w:rFonts w:ascii="Cambria Math" w:hAnsi="Cambria Math"/>
                  <w:sz w:val="22"/>
                </w:rPr>
                <m:t>A</m:t>
              </m:r>
            </m:e>
            <m:sub>
              <m:r>
                <m:rPr>
                  <m:sty m:val="p"/>
                </m:rPr>
                <w:rPr>
                  <w:rFonts w:ascii="Cambria Math" w:hAnsi="Cambria Math"/>
                  <w:sz w:val="22"/>
                </w:rPr>
                <m:t>g,t</m:t>
              </m:r>
            </m:sub>
          </m:sSub>
          <m:r>
            <m:rPr>
              <m:sty m:val="p"/>
            </m:rPr>
            <w:rPr>
              <w:rFonts w:ascii="Cambria Math" w:hAnsi="Cambria Math"/>
              <w:sz w:val="22"/>
            </w:rPr>
            <m:t> = </m:t>
          </m:r>
          <m:sSub>
            <m:e>
              <m:r>
                <m:rPr>
                  <m:sty m:val="p"/>
                </m:rPr>
                <w:rPr>
                  <w:rFonts w:ascii="Cambria Math" w:hAnsi="Cambria Math"/>
                  <w:sz w:val="22"/>
                </w:rPr>
                <m:t>X</m:t>
              </m:r>
            </m:e>
            <m:sub>
              <m:r>
                <m:rPr>
                  <m:sty m:val="p"/>
                </m:rPr>
                <w:rPr>
                  <w:rFonts w:ascii="Cambria Math" w:hAnsi="Cambria Math"/>
                  <w:sz w:val="22"/>
                </w:rPr>
                <m:t>g,t</m:t>
              </m:r>
            </m:sub>
          </m:sSub>
          <m:r>
            <m:rPr>
              <m:sty m:val="p"/>
            </m:rPr>
            <w:rPr>
              <w:rFonts w:ascii="Cambria Math" w:hAnsi="Cambria Math"/>
              <w:sz w:val="22"/>
            </w:rPr>
            <m:t> − </m:t>
          </m:r>
          <m:sSub>
            <m:e>
              <m:r>
                <m:rPr>
                  <m:sty m:val="p"/>
                </m:rPr>
                <w:rPr>
                  <w:rFonts w:ascii="Cambria Math" w:hAnsi="Cambria Math"/>
                  <w:sz w:val="22"/>
                </w:rPr>
                <m:t>X</m:t>
              </m:r>
            </m:e>
            <m:sub>
              <m:r>
                <m:rPr>
                  <m:sty m:val="p"/>
                </m:rPr>
                <w:rPr>
                  <w:rFonts w:ascii="Cambria Math" w:hAnsi="Cambria Math"/>
                  <w:sz w:val="22"/>
                </w:rPr>
                <m:t>g,bg</m:t>
              </m:r>
            </m:sub>
          </m:sSub>
          <m:r>
            <m:rPr>
              <m:sty m:val="p"/>
            </m:rPr>
            <w:rPr>
              <w:rFonts w:ascii="Cambria Math" w:hAnsi="Cambria Math"/>
              <w:sz w:val="22"/>
            </w:rPr>
            <m:t> + B</m:t>
          </m:r>
          <m:r>
            <m:rPr>
              <m:sty m:val="p"/>
            </m:rPr>
            <w:rPr>
              <w:rFonts w:ascii="Cambria Math" w:hAnsi="Cambria Math"/>
              <w:sz w:val="22"/>
            </w:rPr>
            <m:t>    (S8)</m:t>
          </m:r>
        </m:oMath>
      </m:oMathPara>
    </w:p>
    <w:p>
      <w:r>
        <w:t>优先使用有效0W估计；缺失时标明并记录最早有效时间点。每组至少需要两个有效时间点。每个实验和指标按对齐后的组值拟合共同最小、最大锚点，映射并截断至0–100，再采用同一gamma=3展示变换。缩放前各组基线均为B，因此展示起点重叠。只有下降或不变轨迹时起点为100；非恒定且无下降时，下锚点向下扩展一个观测跨度，使基线非零；恒定范围采用线性50。导出数据保留原值、原始差值及全部缩放锚点。</w:t>
      </w:r>
    </w:p>
    <w:p>
      <w:r>
        <w:t>负担散点使用所属组的基线偏移，以及折线同一套锚点、截断和gamma；它们不是个体配对变化。Entropy不叠加个体点。这些图不新增变化值区间或显著性检验。展示值不是原始指标或下降百分比，0不表示原始距离或熵为0。基线对齐不改变原始估计、区间、组间比较或效应量，也不构成基线校正的ANCOVA。解释轨迹时应核对各时间点样本组成及Entropy方法一致性。单时间点数据保留组间展示。</w:t>
      </w:r>
    </w:p>
    <w:p>
      <w:r>
        <w:br w:type="page"/>
      </w:r>
    </w:p>
    <w:p>
      <w:pPr>
        <w:pStyle w:val="Heading1"/>
      </w:pPr>
      <w:r>
        <w:t>S7 独立的跨模型效应量分析</w:t>
      </w:r>
    </w:p>
    <w:p>
      <w:r>
        <w:t>综合森林图模块读取每只动物一行的数据，先计算各模型内治疗组相对于 PM 的效应，再进行跨模型合并。该模块具有独立计算路径，不直接导入主流程的 NMD 或 Entropy 结果。其中 Control 表示正常参照，Model 表示疾病模型对照。程序识别 DB、KK-Ay 和地鼠数据，默认主合并使用 KK-Ay 中剂量；另行计算的低剂量、高剂量合并会重复使用另外两个模型的效应。这些重叠剂量合并不能视为独立重复验证。</w:t>
      </w:r>
    </w:p>
    <w:p>
      <w:r>
        <w:t>在已识别的主要组别中，先删除缺失比例超过 20% 的指标，再按剩余全部指标筛选完整记录，然后才进行主指标的方向筛选。因此，某指标后来被排除，不会自动恢复先前因该指标缺失而删除的记录。要求至少三个完整的正常对照动物；正常组样本标准差为零的指标被删除。带星号但可解析为数值的记录尽可能保留，并记录其标注。</w:t>
      </w:r>
    </w:p>
    <w:p>
      <w:r>
        <w:t>默认综合分析仅保留程序归为客观指标、且观测到的 Model 相对 Control 均值变化符合预设不利方向的指标；背景依赖指标或未知指标默认不纳入。这是依赖观测数据的纳入规则，不是模型有效性的正式检验，也不能据此声称终点已事先预设。各组采用一致的符号方向。每个保留的原始指标减去正常对照均值并除以正常对照样本标准差，所有标准化坐标（包括正常对照）再限制于 [−3,3]。本模块不采用主流程的对数选择或锚定分位数预处理。</w:t>
      </w:r>
    </w:p>
    <w:p>
      <w:pPr>
        <w:keepNext/>
      </w:pPr>
      <w:r>
        <w:t>令 u 表示上述截尾后的标准化向量。利用正常对照的 u 向量估计 Ledoit–Wolf 协方差。距离按下式计算；矩阵无法求逆时使用广义逆：</w:t>
      </w:r>
    </w:p>
    <w:p>
      <w:pPr>
        <w:keepLines/>
        <w:spacing w:before="60" w:after="120"/>
        <w:jc w:val="center"/>
      </w:pPr>
      <m:oMathPara>
        <m:oMathParaPr>
          <m:jc m:val="center"/>
        </m:oMathParaPr>
        <m:oMath>
          <m:sSub>
            <m:e>
              <m:r>
                <m:rPr>
                  <m:sty m:val="p"/>
                </m:rPr>
                <w:rPr>
                  <w:rFonts w:ascii="Cambria Math" w:hAnsi="Cambria Math"/>
                  <w:sz w:val="22"/>
                </w:rPr>
                <m:t>D</m:t>
              </m:r>
            </m:e>
            <m:sub>
              <m:r>
                <m:rPr>
                  <m:sty m:val="p"/>
                </m:rPr>
                <w:rPr>
                  <w:rFonts w:ascii="Cambria Math" w:hAnsi="Cambria Math"/>
                  <w:sz w:val="22"/>
                </w:rPr>
                <m:t>i,F</m:t>
              </m:r>
            </m:sub>
          </m:sSub>
          <m:r>
            <m:rPr>
              <m:sty m:val="p"/>
            </m:rPr>
            <w:rPr>
              <w:rFonts w:ascii="Cambria Math" w:hAnsi="Cambria Math"/>
              <w:sz w:val="22"/>
            </w:rPr>
            <m:t> = </m:t>
          </m:r>
          <m:rad>
            <m:radPr>
              <m:degHide m:val="1"/>
            </m:radPr>
            <m:deg/>
            <m:e>
              <m:sSup>
                <m:e>
                  <m:sSub>
                    <m:e>
                      <m:r>
                        <m:rPr>
                          <m:sty m:val="p"/>
                        </m:rPr>
                        <w:rPr>
                          <w:rFonts w:ascii="Cambria Math" w:hAnsi="Cambria Math"/>
                          <w:sz w:val="22"/>
                        </w:rPr>
                        <m:t>u</m:t>
                      </m:r>
                    </m:e>
                    <m:sub>
                      <m:r>
                        <m:rPr>
                          <m:sty m:val="p"/>
                        </m:rPr>
                        <w:rPr>
                          <w:rFonts w:ascii="Cambria Math" w:hAnsi="Cambria Math"/>
                          <w:sz w:val="22"/>
                        </w:rPr>
                        <m:t>i</m:t>
                      </m:r>
                    </m:sub>
                  </m:sSub>
                </m:e>
                <m:sup>
                  <m:r>
                    <m:rPr>
                      <m:sty m:val="p"/>
                    </m:rPr>
                    <w:rPr>
                      <w:rFonts w:ascii="Cambria Math" w:hAnsi="Cambria Math"/>
                      <w:sz w:val="22"/>
                    </w:rPr>
                    <m:t>T</m:t>
                  </m:r>
                </m:sup>
              </m:sSup>
              <m:sSup>
                <m:e>
                  <m:sSub>
                    <m:e>
                      <m:acc>
                        <m:accPr>
                          <m:chr m:val="̂"/>
                        </m:accPr>
                        <m:e>
                          <m:r>
                            <m:rPr>
                              <m:sty m:val="p"/>
                            </m:rPr>
                            <w:rPr>
                              <w:rFonts w:ascii="Cambria Math" w:hAnsi="Cambria Math"/>
                              <w:sz w:val="22"/>
                            </w:rPr>
                            <m:t>Σ</m:t>
                          </m:r>
                        </m:e>
                      </m:acc>
                    </m:e>
                    <m:sub>
                      <m:r>
                        <m:rPr>
                          <m:sty m:val="p"/>
                        </m:rPr>
                        <w:rPr>
                          <w:rFonts w:ascii="Cambria Math" w:hAnsi="Cambria Math"/>
                          <w:sz w:val="22"/>
                        </w:rPr>
                        <m:t>C,F</m:t>
                      </m:r>
                    </m:sub>
                  </m:sSub>
                </m:e>
                <m:sup>
                  <m:r>
                    <m:rPr>
                      <m:sty m:val="p"/>
                    </m:rPr>
                    <w:rPr>
                      <w:rFonts w:ascii="Cambria Math" w:hAnsi="Cambria Math"/>
                      <w:sz w:val="22"/>
                    </w:rPr>
                    <m:t>−1</m:t>
                  </m:r>
                </m:sup>
              </m:sSup>
              <m:sSub>
                <m:e>
                  <m:r>
                    <m:rPr>
                      <m:sty m:val="p"/>
                    </m:rPr>
                    <w:rPr>
                      <w:rFonts w:ascii="Cambria Math" w:hAnsi="Cambria Math"/>
                      <w:sz w:val="22"/>
                    </w:rPr>
                    <m:t>u</m:t>
                  </m:r>
                </m:e>
                <m:sub>
                  <m:r>
                    <m:rPr>
                      <m:sty m:val="p"/>
                    </m:rPr>
                    <w:rPr>
                      <w:rFonts w:ascii="Cambria Math" w:hAnsi="Cambria Math"/>
                      <w:sz w:val="22"/>
                    </w:rPr>
                    <m:t>i</m:t>
                  </m:r>
                </m:sub>
              </m:sSub>
            </m:e>
          </m:rad>
          <m:r>
            <m:rPr>
              <m:sty m:val="p"/>
            </m:rPr>
            <w:rPr>
              <w:rFonts w:ascii="Cambria Math" w:hAnsi="Cambria Math"/>
              <w:sz w:val="22"/>
            </w:rPr>
            <m:t>    (S9)</m:t>
          </m:r>
        </m:oMath>
      </m:oMathPara>
    </w:p>
    <w:p>
      <w:r>
        <w:t>距离中心为原始正常均值及标准差所定义的零向量。虽然协方差拟合会中心化输入，距离计算并不再次减去截尾后的正常均值。另有不受限敏感性输出，取消 ±3 封顶，并使用合格指标而不施加主分析方向纳入筛选。该输出同时改变指标选择和截尾，不能单独分离其中某项规则的影响。</w:t>
      </w:r>
    </w:p>
    <w:p>
      <w:pPr>
        <w:keepNext/>
      </w:pPr>
      <w:r>
        <w:t>森林图中标为 entropy 的输出基于每只动物的对数距离分数</w:t>
      </w:r>
    </w:p>
    <w:p>
      <w:pPr>
        <w:keepLines/>
        <w:spacing w:before="60" w:after="120"/>
        <w:jc w:val="center"/>
      </w:pPr>
      <m:oMathPara>
        <m:oMathParaPr>
          <m:jc m:val="center"/>
        </m:oMathParaPr>
        <m:oMath>
          <m:sSub>
            <m:e>
              <m:r>
                <m:rPr>
                  <m:sty m:val="p"/>
                </m:rPr>
                <w:rPr>
                  <w:rFonts w:ascii="Cambria Math" w:hAnsi="Cambria Math"/>
                  <w:sz w:val="22"/>
                </w:rPr>
                <m:t>E</m:t>
              </m:r>
            </m:e>
            <m:sub>
              <m:r>
                <m:rPr>
                  <m:sty m:val="p"/>
                </m:rPr>
                <w:rPr>
                  <w:rFonts w:ascii="Cambria Math" w:hAnsi="Cambria Math"/>
                  <w:sz w:val="22"/>
                </w:rPr>
                <m:t>i</m:t>
              </m:r>
            </m:sub>
          </m:sSub>
          <m:r>
            <m:rPr>
              <m:sty m:val="p"/>
            </m:rPr>
            <w:rPr>
              <w:rFonts w:ascii="Cambria Math" w:hAnsi="Cambria Math"/>
              <w:sz w:val="22"/>
            </w:rPr>
            <m:t> = ln </m:t>
          </m:r>
          <m:d>
            <m:dPr>
              <m:begChr m:val="("/>
              <m:endChr m:val=")"/>
            </m:dPr>
            <m:e>
              <m:r>
                <m:rPr>
                  <m:sty m:val="p"/>
                </m:rPr>
                <w:rPr>
                  <w:rFonts w:ascii="Cambria Math" w:hAnsi="Cambria Math"/>
                  <w:sz w:val="22"/>
                </w:rPr>
                <m:t>max</m:t>
              </m:r>
              <m:d>
                <m:dPr>
                  <m:begChr m:val="("/>
                  <m:endChr m:val=")"/>
                </m:dPr>
                <m:e>
                  <m:sSub>
                    <m:e>
                      <m:r>
                        <m:rPr>
                          <m:sty m:val="p"/>
                        </m:rPr>
                        <w:rPr>
                          <w:rFonts w:ascii="Cambria Math" w:hAnsi="Cambria Math"/>
                          <w:sz w:val="22"/>
                        </w:rPr>
                        <m:t>D</m:t>
                      </m:r>
                    </m:e>
                    <m:sub>
                      <m:r>
                        <m:rPr>
                          <m:sty m:val="p"/>
                        </m:rPr>
                        <w:rPr>
                          <w:rFonts w:ascii="Cambria Math" w:hAnsi="Cambria Math"/>
                          <w:sz w:val="22"/>
                        </w:rPr>
                        <m:t>i,F</m:t>
                      </m:r>
                    </m:sub>
                  </m:sSub>
                  <m:r>
                    <m:rPr>
                      <m:sty m:val="p"/>
                    </m:rPr>
                    <w:rPr>
                      <w:rFonts w:ascii="Cambria Math" w:hAnsi="Cambria Math"/>
                      <w:sz w:val="22"/>
                    </w:rPr>
                    <m:t>, </m:t>
                  </m:r>
                  <m:sSup>
                    <m:e>
                      <m:r>
                        <m:rPr>
                          <m:sty m:val="p"/>
                        </m:rPr>
                        <w:rPr>
                          <w:rFonts w:ascii="Cambria Math" w:hAnsi="Cambria Math"/>
                          <w:sz w:val="22"/>
                        </w:rPr>
                        <m:t>10</m:t>
                      </m:r>
                    </m:e>
                    <m:sup>
                      <m:r>
                        <m:rPr>
                          <m:sty m:val="p"/>
                        </m:rPr>
                        <w:rPr>
                          <w:rFonts w:ascii="Cambria Math" w:hAnsi="Cambria Math"/>
                          <w:sz w:val="22"/>
                        </w:rPr>
                        <m:t>−9</m:t>
                      </m:r>
                    </m:sup>
                  </m:sSup>
                </m:e>
              </m:d>
            </m:e>
          </m:d>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2</m:t>
              </m:r>
            </m:den>
          </m:f>
          <m:r>
            <m:rPr>
              <m:sty m:val="p"/>
            </m:rPr>
            <w:rPr>
              <w:rFonts w:ascii="Cambria Math" w:hAnsi="Cambria Math"/>
              <w:sz w:val="22"/>
            </w:rPr>
            <m:t> ln(2πe)</m:t>
          </m:r>
          <m:r>
            <m:rPr>
              <m:sty m:val="p"/>
            </m:rPr>
            <w:rPr>
              <w:rFonts w:ascii="Cambria Math" w:hAnsi="Cambria Math"/>
              <w:sz w:val="22"/>
            </w:rPr>
            <m:t>    (S10)</m:t>
          </m:r>
        </m:oMath>
      </m:oMathPara>
    </w:p>
    <w:p>
      <w:r>
        <w:t>Hedges’ g 使用 E 计算，不使用组协方差熵；加法常数在 g 中抵消。模块另行导出描述性的组协方差熵，但这些值不进入该合并熵效应。公式 S10 的个体均值不等于公式 S6。线性距离和对数距离效应描述相关信息，不能当作两项独立证据相互验证。</w:t>
      </w:r>
    </w:p>
    <w:p>
      <w:r>
        <w:br w:type="page"/>
      </w:r>
    </w:p>
    <w:p>
      <w:pPr>
        <w:pStyle w:val="Heading1"/>
      </w:pPr>
      <w:r>
        <w:t>效应量与合并公式</w:t>
      </w:r>
    </w:p>
    <w:p>
      <w:pPr>
        <w:keepNext/>
      </w:pPr>
      <w:r>
        <w:t>对于任一种个体分数 x，正效应表示治疗组相对于 PM 的分数较低。以 T 表示治疗组、C=PM 表示比较组，ν=nT+nC−2，且合并标准差非零时，程序使用近似 Hedges 小样本校正 [3]：</w:t>
      </w:r>
    </w:p>
    <w:p>
      <w:pPr>
        <w:keepNext/>
        <w:keepLines/>
        <w:spacing w:before="60" w:after="120"/>
        <w:jc w:val="center"/>
      </w:pPr>
      <m:oMathPara>
        <m:oMathParaPr>
          <m:jc m:val="center"/>
        </m:oMathParaPr>
        <m:oMath>
          <m:sSup>
            <m:e>
              <m:sSub>
                <m:e>
                  <m:r>
                    <m:rPr>
                      <m:sty m:val="p"/>
                    </m:rPr>
                    <w:rPr>
                      <w:rFonts w:ascii="Cambria Math" w:hAnsi="Cambria Math"/>
                      <w:sz w:val="22"/>
                    </w:rPr>
                    <m:t>s</m:t>
                  </m:r>
                </m:e>
                <m:sub>
                  <m:r>
                    <m:rPr>
                      <m:sty m:val="p"/>
                    </m:rPr>
                    <w:rPr>
                      <w:rFonts w:ascii="Cambria Math" w:hAnsi="Cambria Math"/>
                      <w:sz w:val="22"/>
                    </w:rPr>
                    <m:t>p</m:t>
                  </m:r>
                </m:sub>
              </m:sSub>
            </m:e>
            <m:sup>
              <m:r>
                <m:rPr>
                  <m:sty m:val="p"/>
                </m:rPr>
                <w:rPr>
                  <w:rFonts w:ascii="Cambria Math" w:hAnsi="Cambria Math"/>
                  <w:sz w:val="22"/>
                </w:rPr>
                <m:t>2</m:t>
              </m:r>
            </m:sup>
          </m:sSup>
          <m:r>
            <m:rPr>
              <m:sty m:val="p"/>
            </m:rPr>
            <w:rPr>
              <w:rFonts w:ascii="Cambria Math" w:hAnsi="Cambria Math"/>
              <w:sz w:val="22"/>
            </w:rPr>
            <m:t> = </m:t>
          </m:r>
          <m:f>
            <m:num>
              <m:r>
                <m:rPr>
                  <m:sty m:val="p"/>
                </m:rPr>
                <w:rPr>
                  <w:rFonts w:ascii="Cambria Math" w:hAnsi="Cambria Math"/>
                  <w:sz w:val="22"/>
                </w:rPr>
                <m:t>(</m:t>
              </m:r>
              <m:sSub>
                <m:e>
                  <m:r>
                    <m:rPr>
                      <m:sty m:val="p"/>
                    </m:rPr>
                    <w:rPr>
                      <w:rFonts w:ascii="Cambria Math" w:hAnsi="Cambria Math"/>
                      <w:sz w:val="22"/>
                    </w:rPr>
                    <m:t>n</m:t>
                  </m:r>
                </m:e>
                <m:sub>
                  <m:r>
                    <m:rPr>
                      <m:sty m:val="p"/>
                    </m:rPr>
                    <w:rPr>
                      <w:rFonts w:ascii="Cambria Math" w:hAnsi="Cambria Math"/>
                      <w:sz w:val="22"/>
                    </w:rPr>
                    <m:t>T</m:t>
                  </m:r>
                </m:sub>
              </m:sSub>
              <m:r>
                <m:rPr>
                  <m:sty m:val="p"/>
                </m:rPr>
                <w:rPr>
                  <w:rFonts w:ascii="Cambria Math" w:hAnsi="Cambria Math"/>
                  <w:sz w:val="22"/>
                </w:rPr>
                <m:t> − 1)</m:t>
              </m:r>
              <m:sSup>
                <m:e>
                  <m:sSub>
                    <m:e>
                      <m:r>
                        <m:rPr>
                          <m:sty m:val="p"/>
                        </m:rPr>
                        <w:rPr>
                          <w:rFonts w:ascii="Cambria Math" w:hAnsi="Cambria Math"/>
                          <w:sz w:val="22"/>
                        </w:rPr>
                        <m:t>s</m:t>
                      </m:r>
                    </m:e>
                    <m:sub>
                      <m:r>
                        <m:rPr>
                          <m:sty m:val="p"/>
                        </m:rPr>
                        <w:rPr>
                          <w:rFonts w:ascii="Cambria Math" w:hAnsi="Cambria Math"/>
                          <w:sz w:val="22"/>
                        </w:rPr>
                        <m:t>T</m:t>
                      </m:r>
                    </m:sub>
                  </m:sSub>
                </m:e>
                <m:sup>
                  <m:r>
                    <m:rPr>
                      <m:sty m:val="p"/>
                    </m:rPr>
                    <w:rPr>
                      <w:rFonts w:ascii="Cambria Math" w:hAnsi="Cambria Math"/>
                      <w:sz w:val="22"/>
                    </w:rPr>
                    <m:t>2</m:t>
                  </m:r>
                </m:sup>
              </m:sSup>
              <m:r>
                <m:rPr>
                  <m:sty m:val="p"/>
                </m:rPr>
                <w:rPr>
                  <w:rFonts w:ascii="Cambria Math" w:hAnsi="Cambria Math"/>
                  <w:sz w:val="22"/>
                </w:rPr>
                <m:t> + (</m:t>
              </m:r>
              <m:sSub>
                <m:e>
                  <m:r>
                    <m:rPr>
                      <m:sty m:val="p"/>
                    </m:rPr>
                    <w:rPr>
                      <w:rFonts w:ascii="Cambria Math" w:hAnsi="Cambria Math"/>
                      <w:sz w:val="22"/>
                    </w:rPr>
                    <m:t>n</m:t>
                  </m:r>
                </m:e>
                <m:sub>
                  <m:r>
                    <m:rPr>
                      <m:sty m:val="p"/>
                    </m:rPr>
                    <w:rPr>
                      <w:rFonts w:ascii="Cambria Math" w:hAnsi="Cambria Math"/>
                      <w:sz w:val="22"/>
                    </w:rPr>
                    <m:t>C</m:t>
                  </m:r>
                </m:sub>
              </m:sSub>
              <m:r>
                <m:rPr>
                  <m:sty m:val="p"/>
                </m:rPr>
                <w:rPr>
                  <w:rFonts w:ascii="Cambria Math" w:hAnsi="Cambria Math"/>
                  <w:sz w:val="22"/>
                </w:rPr>
                <m:t> − 1)</m:t>
              </m:r>
              <m:sSup>
                <m:e>
                  <m:sSub>
                    <m:e>
                      <m:r>
                        <m:rPr>
                          <m:sty m:val="p"/>
                        </m:rPr>
                        <w:rPr>
                          <w:rFonts w:ascii="Cambria Math" w:hAnsi="Cambria Math"/>
                          <w:sz w:val="22"/>
                        </w:rPr>
                        <m:t>s</m:t>
                      </m:r>
                    </m:e>
                    <m:sub>
                      <m:r>
                        <m:rPr>
                          <m:sty m:val="p"/>
                        </m:rPr>
                        <w:rPr>
                          <w:rFonts w:ascii="Cambria Math" w:hAnsi="Cambria Math"/>
                          <w:sz w:val="22"/>
                        </w:rPr>
                        <m:t>C</m:t>
                      </m:r>
                    </m:sub>
                  </m:sSub>
                </m:e>
                <m:sup>
                  <m:r>
                    <m:rPr>
                      <m:sty m:val="p"/>
                    </m:rPr>
                    <w:rPr>
                      <w:rFonts w:ascii="Cambria Math" w:hAnsi="Cambria Math"/>
                      <w:sz w:val="22"/>
                    </w:rPr>
                    <m:t>2</m:t>
                  </m:r>
                </m:sup>
              </m:sSup>
            </m:num>
            <m:den>
              <m:r>
                <m:rPr>
                  <m:sty m:val="p"/>
                </m:rPr>
                <w:rPr>
                  <w:rFonts w:ascii="Cambria Math" w:hAnsi="Cambria Math"/>
                  <w:sz w:val="22"/>
                </w:rPr>
                <m:t>ν</m:t>
              </m:r>
            </m:den>
          </m:f>
          <m:r>
            <m:rPr>
              <m:sty m:val="p"/>
            </m:rPr>
            <w:rPr>
              <w:rFonts w:ascii="Cambria Math" w:hAnsi="Cambria Math"/>
              <w:sz w:val="22"/>
            </w:rPr>
            <m:t>,    d = </m:t>
          </m:r>
          <m:f>
            <m:num>
              <m:sSub>
                <m:e>
                  <m:r>
                    <m:rPr>
                      <m:sty m:val="p"/>
                    </m:rPr>
                    <w:rPr>
                      <w:rFonts w:ascii="Cambria Math" w:hAnsi="Cambria Math"/>
                      <w:sz w:val="22"/>
                    </w:rPr>
                    <m:t>x̄</m:t>
                  </m:r>
                </m:e>
                <m:sub>
                  <m:r>
                    <m:rPr>
                      <m:sty m:val="p"/>
                    </m:rPr>
                    <w:rPr>
                      <w:rFonts w:ascii="Cambria Math" w:hAnsi="Cambria Math"/>
                      <w:sz w:val="22"/>
                    </w:rPr>
                    <m:t>C</m:t>
                  </m:r>
                </m:sub>
              </m:sSub>
              <m:r>
                <m:rPr>
                  <m:sty m:val="p"/>
                </m:rPr>
                <w:rPr>
                  <w:rFonts w:ascii="Cambria Math" w:hAnsi="Cambria Math"/>
                  <w:sz w:val="22"/>
                </w:rPr>
                <m:t> − </m:t>
              </m:r>
              <m:sSub>
                <m:e>
                  <m:r>
                    <m:rPr>
                      <m:sty m:val="p"/>
                    </m:rPr>
                    <w:rPr>
                      <w:rFonts w:ascii="Cambria Math" w:hAnsi="Cambria Math"/>
                      <w:sz w:val="22"/>
                    </w:rPr>
                    <m:t>x̄</m:t>
                  </m:r>
                </m:e>
                <m:sub>
                  <m:r>
                    <m:rPr>
                      <m:sty m:val="p"/>
                    </m:rPr>
                    <w:rPr>
                      <w:rFonts w:ascii="Cambria Math" w:hAnsi="Cambria Math"/>
                      <w:sz w:val="22"/>
                    </w:rPr>
                    <m:t>T</m:t>
                  </m:r>
                </m:sub>
              </m:sSub>
            </m:num>
            <m:den>
              <m:sSub>
                <m:e>
                  <m:r>
                    <m:rPr>
                      <m:sty m:val="p"/>
                    </m:rPr>
                    <w:rPr>
                      <w:rFonts w:ascii="Cambria Math" w:hAnsi="Cambria Math"/>
                      <w:sz w:val="22"/>
                    </w:rPr>
                    <m:t>s</m:t>
                  </m:r>
                </m:e>
                <m:sub>
                  <m:r>
                    <m:rPr>
                      <m:sty m:val="p"/>
                    </m:rPr>
                    <w:rPr>
                      <w:rFonts w:ascii="Cambria Math" w:hAnsi="Cambria Math"/>
                      <w:sz w:val="22"/>
                    </w:rPr>
                    <m:t>p</m:t>
                  </m:r>
                </m:sub>
              </m:sSub>
            </m:den>
          </m:f>
          <m:r>
            <m:rPr>
              <m:sty m:val="p"/>
            </m:rPr>
            <w:rPr>
              <w:rFonts w:ascii="Cambria Math" w:hAnsi="Cambria Math"/>
              <w:sz w:val="22"/>
            </w:rPr>
            <m:t>    (S11)</m:t>
          </m:r>
        </m:oMath>
      </m:oMathPara>
    </w:p>
    <w:p>
      <w:pPr>
        <w:keepLines/>
        <w:spacing w:before="60" w:after="120"/>
        <w:jc w:val="center"/>
      </w:pPr>
      <m:oMathPara>
        <m:oMathParaPr>
          <m:jc m:val="center"/>
        </m:oMathParaPr>
        <m:oMath>
          <m:r>
            <m:rPr>
              <m:sty m:val="p"/>
            </m:rPr>
            <w:rPr>
              <w:rFonts w:ascii="Cambria Math" w:hAnsi="Cambria Math"/>
              <w:sz w:val="22"/>
            </w:rPr>
            <m:t>J = 1 − </m:t>
          </m:r>
          <m:f>
            <m:num>
              <m:r>
                <m:rPr>
                  <m:sty m:val="p"/>
                </m:rPr>
                <w:rPr>
                  <w:rFonts w:ascii="Cambria Math" w:hAnsi="Cambria Math"/>
                  <w:sz w:val="22"/>
                </w:rPr>
                <m:t>3</m:t>
              </m:r>
            </m:num>
            <m:den>
              <m:r>
                <m:rPr>
                  <m:sty m:val="p"/>
                </m:rPr>
                <w:rPr>
                  <w:rFonts w:ascii="Cambria Math" w:hAnsi="Cambria Math"/>
                  <w:sz w:val="22"/>
                </w:rPr>
                <m:t>4ν − 1</m:t>
              </m:r>
            </m:den>
          </m:f>
          <m:r>
            <m:rPr>
              <m:sty m:val="p"/>
            </m:rPr>
            <w:rPr>
              <w:rFonts w:ascii="Cambria Math" w:hAnsi="Cambria Math"/>
              <w:sz w:val="22"/>
            </w:rPr>
            <m:t>,    g = Jd,    v = </m:t>
          </m:r>
          <m:sSup>
            <m:e>
              <m:r>
                <m:rPr>
                  <m:sty m:val="p"/>
                </m:rPr>
                <w:rPr>
                  <w:rFonts w:ascii="Cambria Math" w:hAnsi="Cambria Math"/>
                  <w:sz w:val="22"/>
                </w:rPr>
                <m:t>J</m:t>
              </m:r>
            </m:e>
            <m:sup>
              <m:r>
                <m:rPr>
                  <m:sty m:val="p"/>
                </m:rPr>
                <w:rPr>
                  <w:rFonts w:ascii="Cambria Math" w:hAnsi="Cambria Math"/>
                  <w:sz w:val="22"/>
                </w:rPr>
                <m:t>2</m:t>
              </m:r>
            </m:sup>
          </m:sSup>
          <m:d>
            <m:dPr>
              <m:begChr m:val="("/>
              <m:endChr m:val=")"/>
            </m:dPr>
            <m:e>
              <m:f>
                <m:num>
                  <m:sSub>
                    <m:e>
                      <m:r>
                        <m:rPr>
                          <m:sty m:val="p"/>
                        </m:rPr>
                        <w:rPr>
                          <w:rFonts w:ascii="Cambria Math" w:hAnsi="Cambria Math"/>
                          <w:sz w:val="22"/>
                        </w:rPr>
                        <m:t>n</m:t>
                      </m:r>
                    </m:e>
                    <m:sub>
                      <m:r>
                        <m:rPr>
                          <m:sty m:val="p"/>
                        </m:rPr>
                        <w:rPr>
                          <w:rFonts w:ascii="Cambria Math" w:hAnsi="Cambria Math"/>
                          <w:sz w:val="22"/>
                        </w:rPr>
                        <m:t>T</m:t>
                      </m:r>
                    </m:sub>
                  </m:sSub>
                  <m:r>
                    <m:rPr>
                      <m:sty m:val="p"/>
                    </m:rPr>
                    <w:rPr>
                      <w:rFonts w:ascii="Cambria Math" w:hAnsi="Cambria Math"/>
                      <w:sz w:val="22"/>
                    </w:rPr>
                    <m:t> + </m:t>
                  </m:r>
                  <m:sSub>
                    <m:e>
                      <m:r>
                        <m:rPr>
                          <m:sty m:val="p"/>
                        </m:rPr>
                        <w:rPr>
                          <w:rFonts w:ascii="Cambria Math" w:hAnsi="Cambria Math"/>
                          <w:sz w:val="22"/>
                        </w:rPr>
                        <m:t>n</m:t>
                      </m:r>
                    </m:e>
                    <m:sub>
                      <m:r>
                        <m:rPr>
                          <m:sty m:val="p"/>
                        </m:rPr>
                        <w:rPr>
                          <w:rFonts w:ascii="Cambria Math" w:hAnsi="Cambria Math"/>
                          <w:sz w:val="22"/>
                        </w:rPr>
                        <m:t>C</m:t>
                      </m:r>
                    </m:sub>
                  </m:sSub>
                </m:num>
                <m:den>
                  <m:sSub>
                    <m:e>
                      <m:r>
                        <m:rPr>
                          <m:sty m:val="p"/>
                        </m:rPr>
                        <w:rPr>
                          <w:rFonts w:ascii="Cambria Math" w:hAnsi="Cambria Math"/>
                          <w:sz w:val="22"/>
                        </w:rPr>
                        <m:t>n</m:t>
                      </m:r>
                    </m:e>
                    <m:sub>
                      <m:r>
                        <m:rPr>
                          <m:sty m:val="p"/>
                        </m:rPr>
                        <w:rPr>
                          <w:rFonts w:ascii="Cambria Math" w:hAnsi="Cambria Math"/>
                          <w:sz w:val="22"/>
                        </w:rPr>
                        <m:t>T</m:t>
                      </m:r>
                    </m:sub>
                  </m:sSub>
                  <m:sSub>
                    <m:e>
                      <m:r>
                        <m:rPr>
                          <m:sty m:val="p"/>
                        </m:rPr>
                        <w:rPr>
                          <w:rFonts w:ascii="Cambria Math" w:hAnsi="Cambria Math"/>
                          <w:sz w:val="22"/>
                        </w:rPr>
                        <m:t>n</m:t>
                      </m:r>
                    </m:e>
                    <m:sub>
                      <m:r>
                        <m:rPr>
                          <m:sty m:val="p"/>
                        </m:rPr>
                        <w:rPr>
                          <w:rFonts w:ascii="Cambria Math" w:hAnsi="Cambria Math"/>
                          <w:sz w:val="22"/>
                        </w:rPr>
                        <m:t>C</m:t>
                      </m:r>
                    </m:sub>
                  </m:sSub>
                </m:den>
              </m:f>
              <m:r>
                <m:rPr>
                  <m:sty m:val="p"/>
                </m:rPr>
                <w:rPr>
                  <w:rFonts w:ascii="Cambria Math" w:hAnsi="Cambria Math"/>
                  <w:sz w:val="22"/>
                </w:rPr>
                <m:t> + </m:t>
              </m:r>
              <m:f>
                <m:num>
                  <m:sSup>
                    <m:e>
                      <m:r>
                        <m:rPr>
                          <m:sty m:val="p"/>
                        </m:rPr>
                        <w:rPr>
                          <w:rFonts w:ascii="Cambria Math" w:hAnsi="Cambria Math"/>
                          <w:sz w:val="22"/>
                        </w:rPr>
                        <m:t>d</m:t>
                      </m:r>
                    </m:e>
                    <m:sup>
                      <m:r>
                        <m:rPr>
                          <m:sty m:val="p"/>
                        </m:rPr>
                        <w:rPr>
                          <w:rFonts w:ascii="Cambria Math" w:hAnsi="Cambria Math"/>
                          <w:sz w:val="22"/>
                        </w:rPr>
                        <m:t>2</m:t>
                      </m:r>
                    </m:sup>
                  </m:sSup>
                </m:num>
                <m:den>
                  <m:r>
                    <m:rPr>
                      <m:sty m:val="p"/>
                    </m:rPr>
                    <w:rPr>
                      <w:rFonts w:ascii="Cambria Math" w:hAnsi="Cambria Math"/>
                      <w:sz w:val="22"/>
                    </w:rPr>
                    <m:t>2(</m:t>
                  </m:r>
                  <m:sSub>
                    <m:e>
                      <m:r>
                        <m:rPr>
                          <m:sty m:val="p"/>
                        </m:rPr>
                        <w:rPr>
                          <w:rFonts w:ascii="Cambria Math" w:hAnsi="Cambria Math"/>
                          <w:sz w:val="22"/>
                        </w:rPr>
                        <m:t>n</m:t>
                      </m:r>
                    </m:e>
                    <m:sub>
                      <m:r>
                        <m:rPr>
                          <m:sty m:val="p"/>
                        </m:rPr>
                        <w:rPr>
                          <w:rFonts w:ascii="Cambria Math" w:hAnsi="Cambria Math"/>
                          <w:sz w:val="22"/>
                        </w:rPr>
                        <m:t>T</m:t>
                      </m:r>
                    </m:sub>
                  </m:sSub>
                  <m:r>
                    <m:rPr>
                      <m:sty m:val="p"/>
                    </m:rPr>
                    <w:rPr>
                      <w:rFonts w:ascii="Cambria Math" w:hAnsi="Cambria Math"/>
                      <w:sz w:val="22"/>
                    </w:rPr>
                    <m:t> + </m:t>
                  </m:r>
                  <m:sSub>
                    <m:e>
                      <m:r>
                        <m:rPr>
                          <m:sty m:val="p"/>
                        </m:rPr>
                        <w:rPr>
                          <w:rFonts w:ascii="Cambria Math" w:hAnsi="Cambria Math"/>
                          <w:sz w:val="22"/>
                        </w:rPr>
                        <m:t>n</m:t>
                      </m:r>
                    </m:e>
                    <m:sub>
                      <m:r>
                        <m:rPr>
                          <m:sty m:val="p"/>
                        </m:rPr>
                        <w:rPr>
                          <w:rFonts w:ascii="Cambria Math" w:hAnsi="Cambria Math"/>
                          <w:sz w:val="22"/>
                        </w:rPr>
                        <m:t>C</m:t>
                      </m:r>
                    </m:sub>
                  </m:sSub>
                  <m:r>
                    <m:rPr>
                      <m:sty m:val="p"/>
                    </m:rPr>
                    <w:rPr>
                      <w:rFonts w:ascii="Cambria Math" w:hAnsi="Cambria Math"/>
                      <w:sz w:val="22"/>
                    </w:rPr>
                    <m:t>)</m:t>
                  </m:r>
                </m:den>
              </m:f>
            </m:e>
          </m:d>
          <m:r>
            <m:rPr>
              <m:sty m:val="p"/>
            </m:rPr>
            <w:rPr>
              <w:rFonts w:ascii="Cambria Math" w:hAnsi="Cambria Math"/>
              <w:sz w:val="22"/>
            </w:rPr>
            <m:t>    (S12)</m:t>
          </m:r>
        </m:oMath>
      </m:oMathPara>
    </w:p>
    <w:p>
      <w:r>
        <w:t>各分数比较排除非有限观测值，每组至少需要两个有限值。单模型区间为 g±1.96√v。该方差近似将动物衍生分数作为已观测数值处理，未显式传播正常参照拟合、终点筛选和截尾带来的不确定性。</w:t>
      </w:r>
    </w:p>
    <w:p>
      <w:pPr>
        <w:keepNext/>
      </w:pPr>
      <w:r>
        <w:t>对 k 个可用模型，固定效应逆方差权重为 aj=1/vj。令固定效应合并值为 gF，Q=Σaj(gj−gF)²，C=Σaj−Σaj²/Σaj，则 DerSimonian–Laird 异质性方差估计为 τ²=max{0,[Q−(k−1)]/C} [4]。随机效应权重及合并值为</w:t>
      </w:r>
    </w:p>
    <w:p>
      <w:pPr>
        <w:keepLines/>
        <w:spacing w:before="60" w:after="120"/>
        <w:jc w:val="center"/>
      </w:pPr>
      <m:oMathPara>
        <m:oMathParaPr>
          <m:jc m:val="center"/>
        </m:oMathParaPr>
        <m:oMath>
          <m:sSub>
            <m:e>
              <m:r>
                <m:rPr>
                  <m:sty m:val="p"/>
                </m:rPr>
                <w:rPr>
                  <w:rFonts w:ascii="Cambria Math" w:hAnsi="Cambria Math"/>
                  <w:sz w:val="22"/>
                </w:rPr>
                <m:t>w</m:t>
              </m:r>
            </m:e>
            <m:sub>
              <m:r>
                <m:rPr>
                  <m:sty m:val="p"/>
                </m:rPr>
                <w:rPr>
                  <w:rFonts w:ascii="Cambria Math" w:hAnsi="Cambria Math"/>
                  <w:sz w:val="22"/>
                </w:rPr>
                <m:t>j</m:t>
              </m:r>
            </m:sub>
          </m:sSub>
          <m:r>
            <m:rPr>
              <m:sty m:val="p"/>
            </m:rPr>
            <w:rPr>
              <w:rFonts w:ascii="Cambria Math" w:hAnsi="Cambria Math"/>
              <w:sz w:val="22"/>
            </w:rPr>
            <m:t> = </m:t>
          </m:r>
          <m:f>
            <m:num>
              <m:r>
                <m:rPr>
                  <m:sty m:val="p"/>
                </m:rPr>
                <w:rPr>
                  <w:rFonts w:ascii="Cambria Math" w:hAnsi="Cambria Math"/>
                  <w:sz w:val="22"/>
                </w:rPr>
                <m:t>1</m:t>
              </m:r>
            </m:num>
            <m:den>
              <m:sSub>
                <m:e>
                  <m:r>
                    <m:rPr>
                      <m:sty m:val="p"/>
                    </m:rPr>
                    <w:rPr>
                      <w:rFonts w:ascii="Cambria Math" w:hAnsi="Cambria Math"/>
                      <w:sz w:val="22"/>
                    </w:rPr>
                    <m:t>v</m:t>
                  </m:r>
                </m:e>
                <m:sub>
                  <m:r>
                    <m:rPr>
                      <m:sty m:val="p"/>
                    </m:rPr>
                    <w:rPr>
                      <w:rFonts w:ascii="Cambria Math" w:hAnsi="Cambria Math"/>
                      <w:sz w:val="22"/>
                    </w:rPr>
                    <m:t>j</m:t>
                  </m:r>
                </m:sub>
              </m:sSub>
              <m:r>
                <m:rPr>
                  <m:sty m:val="p"/>
                </m:rPr>
                <w:rPr>
                  <w:rFonts w:ascii="Cambria Math" w:hAnsi="Cambria Math"/>
                  <w:sz w:val="22"/>
                </w:rPr>
                <m:t> + </m:t>
              </m:r>
              <m:sSup>
                <m:e>
                  <m:r>
                    <m:rPr>
                      <m:sty m:val="p"/>
                    </m:rPr>
                    <w:rPr>
                      <w:rFonts w:ascii="Cambria Math" w:hAnsi="Cambria Math"/>
                      <w:sz w:val="22"/>
                    </w:rPr>
                    <m:t>τ</m:t>
                  </m:r>
                </m:e>
                <m:sup>
                  <m:r>
                    <m:rPr>
                      <m:sty m:val="p"/>
                    </m:rPr>
                    <w:rPr>
                      <w:rFonts w:ascii="Cambria Math" w:hAnsi="Cambria Math"/>
                      <w:sz w:val="22"/>
                    </w:rPr>
                    <m:t>2</m:t>
                  </m:r>
                </m:sup>
              </m:sSup>
            </m:den>
          </m:f>
          <m:r>
            <m:rPr>
              <m:sty m:val="p"/>
            </m:rPr>
            <w:rPr>
              <w:rFonts w:ascii="Cambria Math" w:hAnsi="Cambria Math"/>
              <w:sz w:val="22"/>
            </w:rPr>
            <m:t>,    </m:t>
          </m:r>
          <m:sSub>
            <m:e>
              <m:acc>
                <m:accPr>
                  <m:chr m:val="̂"/>
                </m:accPr>
                <m:e>
                  <m:r>
                    <m:rPr>
                      <m:sty m:val="p"/>
                    </m:rPr>
                    <w:rPr>
                      <w:rFonts w:ascii="Cambria Math" w:hAnsi="Cambria Math"/>
                      <w:sz w:val="22"/>
                    </w:rPr>
                    <m:t>g</m:t>
                  </m:r>
                </m:e>
              </m:acc>
            </m:e>
            <m:sub>
              <m:r>
                <m:rPr>
                  <m:sty m:val="p"/>
                </m:rPr>
                <w:rPr>
                  <w:rFonts w:ascii="Cambria Math" w:hAnsi="Cambria Math"/>
                  <w:sz w:val="22"/>
                </w:rPr>
                <m:t>R</m:t>
              </m:r>
            </m:sub>
          </m:sSub>
          <m:r>
            <m:rPr>
              <m:sty m:val="p"/>
            </m:rPr>
            <w:rPr>
              <w:rFonts w:ascii="Cambria Math" w:hAnsi="Cambria Math"/>
              <w:sz w:val="22"/>
            </w:rPr>
            <m:t> = </m:t>
          </m:r>
          <m:f>
            <m:num>
              <m:nary>
                <m:naryPr>
                  <m:chr m:val="∑"/>
                  <m:limLoc m:val="subSup"/>
                </m:naryPr>
                <m:sub>
                  <m:r>
                    <m:rPr>
                      <m:sty m:val="p"/>
                    </m:rPr>
                    <w:rPr>
                      <w:rFonts w:ascii="Cambria Math" w:hAnsi="Cambria Math"/>
                      <w:sz w:val="22"/>
                    </w:rPr>
                    <m:t>j = 1</m:t>
                  </m:r>
                </m:sub>
                <m:sup>
                  <m:r>
                    <m:rPr>
                      <m:sty m:val="p"/>
                    </m:rPr>
                    <w:rPr>
                      <w:rFonts w:ascii="Cambria Math" w:hAnsi="Cambria Math"/>
                      <w:sz w:val="22"/>
                    </w:rPr>
                    <m:t>k</m:t>
                  </m:r>
                </m:sup>
                <m:e>
                  <m:sSub>
                    <m:e>
                      <m:r>
                        <m:rPr>
                          <m:sty m:val="p"/>
                        </m:rPr>
                        <w:rPr>
                          <w:rFonts w:ascii="Cambria Math" w:hAnsi="Cambria Math"/>
                          <w:sz w:val="22"/>
                        </w:rPr>
                        <m:t>w</m:t>
                      </m:r>
                    </m:e>
                    <m:sub>
                      <m:r>
                        <m:rPr>
                          <m:sty m:val="p"/>
                        </m:rPr>
                        <w:rPr>
                          <w:rFonts w:ascii="Cambria Math" w:hAnsi="Cambria Math"/>
                          <w:sz w:val="22"/>
                        </w:rPr>
                        <m:t>j</m:t>
                      </m:r>
                    </m:sub>
                  </m:sSub>
                  <m:sSub>
                    <m:e>
                      <m:r>
                        <m:rPr>
                          <m:sty m:val="p"/>
                        </m:rPr>
                        <w:rPr>
                          <w:rFonts w:ascii="Cambria Math" w:hAnsi="Cambria Math"/>
                          <w:sz w:val="22"/>
                        </w:rPr>
                        <m:t>g</m:t>
                      </m:r>
                    </m:e>
                    <m:sub>
                      <m:r>
                        <m:rPr>
                          <m:sty m:val="p"/>
                        </m:rPr>
                        <w:rPr>
                          <w:rFonts w:ascii="Cambria Math" w:hAnsi="Cambria Math"/>
                          <w:sz w:val="22"/>
                        </w:rPr>
                        <m:t>j</m:t>
                      </m:r>
                    </m:sub>
                  </m:sSub>
                </m:e>
              </m:nary>
            </m:num>
            <m:den>
              <m:nary>
                <m:naryPr>
                  <m:chr m:val="∑"/>
                  <m:limLoc m:val="subSup"/>
                </m:naryPr>
                <m:sub>
                  <m:r>
                    <m:rPr>
                      <m:sty m:val="p"/>
                    </m:rPr>
                    <w:rPr>
                      <w:rFonts w:ascii="Cambria Math" w:hAnsi="Cambria Math"/>
                      <w:sz w:val="22"/>
                    </w:rPr>
                    <m:t>j = 1</m:t>
                  </m:r>
                </m:sub>
                <m:sup>
                  <m:r>
                    <m:rPr>
                      <m:sty m:val="p"/>
                    </m:rPr>
                    <w:rPr>
                      <w:rFonts w:ascii="Cambria Math" w:hAnsi="Cambria Math"/>
                      <w:sz w:val="22"/>
                    </w:rPr>
                    <m:t>k</m:t>
                  </m:r>
                </m:sup>
                <m:e>
                  <m:sSub>
                    <m:e>
                      <m:r>
                        <m:rPr>
                          <m:sty m:val="p"/>
                        </m:rPr>
                        <w:rPr>
                          <w:rFonts w:ascii="Cambria Math" w:hAnsi="Cambria Math"/>
                          <w:sz w:val="22"/>
                        </w:rPr>
                        <m:t>w</m:t>
                      </m:r>
                    </m:e>
                    <m:sub>
                      <m:r>
                        <m:rPr>
                          <m:sty m:val="p"/>
                        </m:rPr>
                        <w:rPr>
                          <w:rFonts w:ascii="Cambria Math" w:hAnsi="Cambria Math"/>
                          <w:sz w:val="22"/>
                        </w:rPr>
                        <m:t>j</m:t>
                      </m:r>
                    </m:sub>
                  </m:sSub>
                </m:e>
              </m:nary>
            </m:den>
          </m:f>
          <m:r>
            <m:rPr>
              <m:sty m:val="p"/>
            </m:rPr>
            <w:rPr>
              <w:rFonts w:ascii="Cambria Math" w:hAnsi="Cambria Math"/>
              <w:sz w:val="22"/>
            </w:rPr>
            <m:t>    (S13)</m:t>
          </m:r>
        </m:oMath>
      </m:oMathPara>
    </w:p>
    <w:p>
      <w:r>
        <w:t>常规正态近似区间使用 SE=1/√Σwj。k≥2 时，另提供修正的 Hartung–Knapp 区间：q=Σwj(gj−ĝR)²/(k−1)，SEHK=√[max(1,q)/Σwj]，区间为 ĝR±t0.975,k−1 SEHK [5]。三个模型时，程序使用的 t 系数为 4.303。max(1,q) 保护项防止校正标准误小于常规随机效应标准误。Q&gt;0 时，I²=max{0,[Q−(k−1)]/Q}×100%。仅一个模型贡献结果时，没有跨模型异质性信息，也不计算 HK 区间。</w:t>
      </w:r>
    </w:p>
    <w:p>
      <w:r>
        <w:t>动物数差异通过 g、方差和逆方差权重进入计算，不要求样本量相等。指标组合不同是另一项限制：标准化不能证明不同综合分数测量了同一种生物学结局。未充分论证可比性时，跨模型合并应作为探索性分析。结果应同时提供各模型指标、完整记录的实际样本量、剂量选择及两种合并区间。共同指标和截尾敏感性分析可检查这种依赖，但程序并未自动将共同指标设为主分析。同一模型内相关终点、重复使用的对照以及重叠剂量合并不能当作独立研究。</w:t>
      </w:r>
    </w:p>
    <w:p>
      <w:r>
        <w:br w:type="page"/>
      </w:r>
    </w:p>
    <w:p>
      <w:pPr>
        <w:pStyle w:val="Heading1"/>
      </w:pPr>
      <w:r>
        <w:t>S8 参数与可重复性</w:t>
      </w:r>
    </w:p>
    <w:p>
      <w:r>
        <w:t>表 S1 汇总程序默认值，不代表某一具体研究实际使用的全部设置。采用该软件的文章应报告实际保留指标、输入单位、正常参照的来源与纳入标准、缺失值处理后的样本数、所选组别及剂量、时间点，以及对默认设置的任何调整。分析记录应保留输入校验值、源码或可执行文件校验值、发行版本、依赖版本及拟合参数表。正常参照数据及单位信息决定“接近正常”的具体含义。</w:t>
      </w:r>
    </w:p>
    <w:p>
      <w:pPr>
        <w:pStyle w:val="Caption"/>
      </w:pPr>
      <w:r>
        <w:t>表 S1 默认计算设置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624"/>
      </w:tblGrid>
      <w:tr>
        <w:trPr>
          <w:cantSplit/>
          <w:tblHeader/>
        </w:trPr>
        <w:tc>
          <w:tcPr>
            <w:tcW w:type="dxa" w:w="2880"/>
            <w:vAlign w:val="center"/>
            <w:shd w:fill="E8EDF2"/>
          </w:tcPr>
          <w:p>
            <w:pPr>
              <w:spacing w:after="0" w:line="252" w:lineRule="auto"/>
            </w:pPr>
            <w:r>
              <w:rPr>
                <w:b/>
                <w:sz w:val="19"/>
              </w:rPr>
              <w:t>设置</w:t>
            </w:r>
          </w:p>
        </w:tc>
        <w:tc>
          <w:tcPr>
            <w:tcW w:type="dxa" w:w="6624"/>
            <w:vAlign w:val="center"/>
            <w:shd w:fill="E8EDF2"/>
          </w:tcPr>
          <w:p>
            <w:pPr>
              <w:spacing w:after="0" w:line="252" w:lineRule="auto"/>
            </w:pPr>
            <w:r>
              <w:rPr>
                <w:b/>
                <w:sz w:val="19"/>
              </w:rPr>
              <w:t>程序默认值</w:t>
            </w:r>
          </w:p>
        </w:tc>
      </w:tr>
      <w:tr>
        <w:trPr>
          <w:cantSplit/>
        </w:trPr>
        <w:tc>
          <w:tcPr>
            <w:tcW w:type="dxa" w:w="2880"/>
            <w:vAlign w:val="center"/>
          </w:tcPr>
          <w:p>
            <w:pPr>
              <w:spacing w:after="0" w:line="252" w:lineRule="auto"/>
            </w:pPr>
            <w:r>
              <w:rPr>
                <w:b w:val="0"/>
                <w:sz w:val="19"/>
              </w:rPr>
              <w:t>主流程指标覆盖率</w:t>
            </w:r>
          </w:p>
        </w:tc>
        <w:tc>
          <w:tcPr>
            <w:tcW w:type="dxa" w:w="6624"/>
            <w:vAlign w:val="center"/>
          </w:tcPr>
          <w:p>
            <w:pPr>
              <w:spacing w:after="0" w:line="252" w:lineRule="auto"/>
            </w:pPr>
            <w:r>
              <w:rPr>
                <w:b w:val="0"/>
                <w:sz w:val="19"/>
              </w:rPr>
              <w:t>数值型非缺失比例 ≥70%，不同观测值 &gt;1</w:t>
            </w:r>
          </w:p>
        </w:tc>
      </w:tr>
      <w:tr>
        <w:trPr>
          <w:cantSplit/>
        </w:trPr>
        <w:tc>
          <w:tcPr>
            <w:tcW w:type="dxa" w:w="2880"/>
            <w:vAlign w:val="center"/>
          </w:tcPr>
          <w:p>
            <w:pPr>
              <w:spacing w:after="0" w:line="252" w:lineRule="auto"/>
            </w:pPr>
            <w:r>
              <w:rPr>
                <w:b w:val="0"/>
                <w:sz w:val="19"/>
              </w:rPr>
              <w:t>锚定分位数截尾</w:t>
            </w:r>
          </w:p>
        </w:tc>
        <w:tc>
          <w:tcPr>
            <w:tcW w:type="dxa" w:w="6624"/>
            <w:vAlign w:val="center"/>
          </w:tcPr>
          <w:p>
            <w:pPr>
              <w:spacing w:after="0" w:line="252" w:lineRule="auto"/>
            </w:pPr>
            <w:r>
              <w:rPr>
                <w:b w:val="0"/>
                <w:sz w:val="19"/>
              </w:rPr>
              <w:t>q=0.01，边界一次性拟合</w:t>
            </w:r>
          </w:p>
        </w:tc>
      </w:tr>
      <w:tr>
        <w:trPr>
          <w:cantSplit/>
        </w:trPr>
        <w:tc>
          <w:tcPr>
            <w:tcW w:type="dxa" w:w="2880"/>
            <w:vAlign w:val="center"/>
          </w:tcPr>
          <w:p>
            <w:pPr>
              <w:spacing w:after="0" w:line="252" w:lineRule="auto"/>
            </w:pPr>
            <w:r>
              <w:rPr>
                <w:b w:val="0"/>
                <w:sz w:val="19"/>
              </w:rPr>
              <w:t>正常参照拟合</w:t>
            </w:r>
          </w:p>
        </w:tc>
        <w:tc>
          <w:tcPr>
            <w:tcW w:type="dxa" w:w="6624"/>
            <w:vAlign w:val="center"/>
          </w:tcPr>
          <w:p>
            <w:pPr>
              <w:spacing w:after="0" w:line="252" w:lineRule="auto"/>
            </w:pPr>
            <w:r>
              <w:rPr>
                <w:b w:val="0"/>
                <w:sz w:val="19"/>
              </w:rPr>
              <w:t>正常中位数 ±4 MAD，并保留尺度回退</w:t>
            </w:r>
          </w:p>
        </w:tc>
      </w:tr>
      <w:tr>
        <w:trPr>
          <w:cantSplit/>
        </w:trPr>
        <w:tc>
          <w:tcPr>
            <w:tcW w:type="dxa" w:w="2880"/>
            <w:vAlign w:val="center"/>
          </w:tcPr>
          <w:p>
            <w:pPr>
              <w:spacing w:after="0" w:line="252" w:lineRule="auto"/>
            </w:pPr>
            <w:r>
              <w:rPr>
                <w:b w:val="0"/>
                <w:sz w:val="19"/>
              </w:rPr>
              <w:t>主距离</w:t>
            </w:r>
          </w:p>
        </w:tc>
        <w:tc>
          <w:tcPr>
            <w:tcW w:type="dxa" w:w="6624"/>
            <w:vAlign w:val="center"/>
          </w:tcPr>
          <w:p>
            <w:pPr>
              <w:spacing w:after="0" w:line="252" w:lineRule="auto"/>
            </w:pPr>
            <w:r>
              <w:rPr>
                <w:b w:val="0"/>
                <w:sz w:val="19"/>
              </w:rPr>
              <w:t>全协方差；研究样本坐标不封顶</w:t>
            </w:r>
          </w:p>
        </w:tc>
      </w:tr>
      <w:tr>
        <w:trPr>
          <w:cantSplit/>
        </w:trPr>
        <w:tc>
          <w:tcPr>
            <w:tcW w:type="dxa" w:w="2880"/>
            <w:vAlign w:val="center"/>
          </w:tcPr>
          <w:p>
            <w:pPr>
              <w:spacing w:after="0" w:line="252" w:lineRule="auto"/>
            </w:pPr>
            <w:r>
              <w:rPr>
                <w:b w:val="0"/>
                <w:sz w:val="19"/>
              </w:rPr>
              <w:t>对角敏感性距离</w:t>
            </w:r>
          </w:p>
        </w:tc>
        <w:tc>
          <w:tcPr>
            <w:tcW w:type="dxa" w:w="6624"/>
            <w:vAlign w:val="center"/>
          </w:tcPr>
          <w:p>
            <w:pPr>
              <w:spacing w:after="0" w:line="252" w:lineRule="auto"/>
            </w:pPr>
            <w:r>
              <w:rPr>
                <w:b w:val="0"/>
                <w:sz w:val="19"/>
              </w:rPr>
              <w:t>正常标准差坐标，封顶于 ±8</w:t>
            </w:r>
          </w:p>
        </w:tc>
      </w:tr>
      <w:tr>
        <w:trPr>
          <w:cantSplit/>
        </w:trPr>
        <w:tc>
          <w:tcPr>
            <w:tcW w:type="dxa" w:w="2880"/>
            <w:vAlign w:val="center"/>
          </w:tcPr>
          <w:p>
            <w:pPr>
              <w:spacing w:after="0" w:line="252" w:lineRule="auto"/>
            </w:pPr>
            <w:r>
              <w:rPr>
                <w:b w:val="0"/>
                <w:sz w:val="19"/>
              </w:rPr>
              <w:t>异常投票</w:t>
            </w:r>
          </w:p>
        </w:tc>
        <w:tc>
          <w:tcPr>
            <w:tcW w:type="dxa" w:w="6624"/>
            <w:vAlign w:val="center"/>
          </w:tcPr>
          <w:p>
            <w:pPr>
              <w:spacing w:after="0" w:line="252" w:lineRule="auto"/>
            </w:pPr>
            <w:r>
              <w:rPr>
                <w:b w:val="0"/>
                <w:sz w:val="19"/>
              </w:rPr>
              <w:t>≥2 种为一致异常，≥4 种为强异常，仅作标记</w:t>
            </w:r>
          </w:p>
        </w:tc>
      </w:tr>
      <w:tr>
        <w:trPr>
          <w:cantSplit/>
        </w:trPr>
        <w:tc>
          <w:tcPr>
            <w:tcW w:type="dxa" w:w="2880"/>
            <w:vAlign w:val="center"/>
          </w:tcPr>
          <w:p>
            <w:pPr>
              <w:spacing w:after="0" w:line="252" w:lineRule="auto"/>
            </w:pPr>
            <w:r>
              <w:rPr>
                <w:b w:val="0"/>
                <w:sz w:val="19"/>
              </w:rPr>
              <w:t>重采样与基础种子</w:t>
            </w:r>
          </w:p>
        </w:tc>
        <w:tc>
          <w:tcPr>
            <w:tcW w:type="dxa" w:w="6624"/>
            <w:vAlign w:val="center"/>
          </w:tcPr>
          <w:p>
            <w:pPr>
              <w:spacing w:after="0" w:line="252" w:lineRule="auto"/>
            </w:pPr>
            <w:r>
              <w:rPr>
                <w:b w:val="0"/>
                <w:sz w:val="19"/>
              </w:rPr>
              <w:t>200 / 400 / 300 / 500，见 S6；种子 42</w:t>
            </w:r>
          </w:p>
        </w:tc>
      </w:tr>
      <w:tr>
        <w:trPr>
          <w:cantSplit/>
        </w:trPr>
        <w:tc>
          <w:tcPr>
            <w:tcW w:type="dxa" w:w="2880"/>
            <w:vAlign w:val="center"/>
          </w:tcPr>
          <w:p>
            <w:pPr>
              <w:spacing w:after="0" w:line="252" w:lineRule="auto"/>
            </w:pPr>
            <w:r>
              <w:rPr>
                <w:b w:val="0"/>
                <w:sz w:val="19"/>
              </w:rPr>
              <w:t>森林图缺失值规则</w:t>
            </w:r>
          </w:p>
        </w:tc>
        <w:tc>
          <w:tcPr>
            <w:tcW w:type="dxa" w:w="6624"/>
            <w:vAlign w:val="center"/>
          </w:tcPr>
          <w:p>
            <w:pPr>
              <w:spacing w:after="0" w:line="252" w:lineRule="auto"/>
            </w:pPr>
            <w:r>
              <w:rPr>
                <w:b w:val="0"/>
                <w:sz w:val="19"/>
              </w:rPr>
              <w:t>删除缺失 &gt;20% 的指标，再保留完整记录</w:t>
            </w:r>
          </w:p>
        </w:tc>
      </w:tr>
      <w:tr>
        <w:trPr>
          <w:cantSplit/>
        </w:trPr>
        <w:tc>
          <w:tcPr>
            <w:tcW w:type="dxa" w:w="2880"/>
            <w:vAlign w:val="center"/>
          </w:tcPr>
          <w:p>
            <w:pPr>
              <w:spacing w:after="0" w:line="252" w:lineRule="auto"/>
            </w:pPr>
            <w:r>
              <w:rPr>
                <w:b w:val="0"/>
                <w:sz w:val="19"/>
              </w:rPr>
              <w:t>森林图默认距离</w:t>
            </w:r>
          </w:p>
        </w:tc>
        <w:tc>
          <w:tcPr>
            <w:tcW w:type="dxa" w:w="6624"/>
            <w:vAlign w:val="center"/>
          </w:tcPr>
          <w:p>
            <w:pPr>
              <w:spacing w:after="0" w:line="252" w:lineRule="auto"/>
            </w:pPr>
            <w:r>
              <w:rPr>
                <w:b w:val="0"/>
                <w:sz w:val="19"/>
              </w:rPr>
              <w:t>正常标准差标准化；坐标封顶于 ±3</w:t>
            </w:r>
          </w:p>
        </w:tc>
      </w:tr>
      <w:tr>
        <w:trPr>
          <w:cantSplit/>
        </w:trPr>
        <w:tc>
          <w:tcPr>
            <w:tcW w:type="dxa" w:w="2880"/>
            <w:vAlign w:val="center"/>
          </w:tcPr>
          <w:p>
            <w:pPr>
              <w:spacing w:after="0" w:line="252" w:lineRule="auto"/>
            </w:pPr>
            <w:r>
              <w:rPr>
                <w:b w:val="0"/>
                <w:sz w:val="19"/>
              </w:rPr>
              <w:t>森林图合并</w:t>
            </w:r>
          </w:p>
        </w:tc>
        <w:tc>
          <w:tcPr>
            <w:tcW w:type="dxa" w:w="6624"/>
            <w:vAlign w:val="center"/>
          </w:tcPr>
          <w:p>
            <w:pPr>
              <w:spacing w:after="0" w:line="252" w:lineRule="auto"/>
            </w:pPr>
            <w:r>
              <w:rPr>
                <w:b w:val="0"/>
                <w:sz w:val="19"/>
              </w:rPr>
              <w:t>Hedges g；DL 随机效应；修正 HK 区间</w:t>
            </w:r>
          </w:p>
        </w:tc>
      </w:tr>
    </w:tbl>
    <w:p>
      <w:pPr>
        <w:spacing w:before="140"/>
      </w:pPr>
      <w:r>
        <w:t>较低 D 表示更接近拟合正常参照；较低 Hstate 表示距离二阶矩较小；较低 Hcov 表示所选坐标下拟合协方差体积较小。这些量均不能单独定义生物学康复。不同维度、指标组合、变换或正常参照人群的分数不宜直接互换。Ledoit–Wolf 正则化及 bootstrap 区间不能消除小样本偏差、缺失值假设、数据依赖性和多重比较限制。源码及发行材料位于 https://github.com/MrElss/BioEntropy；具体分析所用的发行版本及校验值用于标识其实现。</w:t>
      </w:r>
    </w:p>
    <w:p>
      <w:pPr>
        <w:pStyle w:val="Heading1"/>
      </w:pPr>
      <w:r>
        <w:t>参考文献</w:t>
      </w:r>
    </w:p>
    <w:p>
      <w:pPr>
        <w:spacing w:after="80"/>
      </w:pPr>
      <w:r>
        <w:rPr>
          <w:sz w:val="18"/>
        </w:rPr>
        <w:t>1. Ledoit O, Wolf M. A well-conditioned estimator for large-dimensional covariance matrices. Journal of Multivariate Analysis. 2004;88:365–411. https://doi.org/10.1016/S0047-259X(03)00096-4</w:t>
      </w:r>
    </w:p>
    <w:p>
      <w:pPr>
        <w:spacing w:after="80"/>
      </w:pPr>
      <w:r>
        <w:rPr>
          <w:sz w:val="18"/>
        </w:rPr>
        <w:t>2. Benjamini Y, Hochberg Y. Controlling the false discovery rate: a practical and powerful approach to multiple testing. Journal of the Royal Statistical Society Series B. 1995;57:289–300. https://doi.org/10.1111/j.2517-6161.1995.tb02031.x</w:t>
      </w:r>
    </w:p>
    <w:p>
      <w:pPr>
        <w:spacing w:after="80"/>
      </w:pPr>
      <w:r>
        <w:rPr>
          <w:sz w:val="18"/>
        </w:rPr>
        <w:t>3. Hedges LV. Distribution theory for Glass’s estimator of effect size and related estimators. Journal of Educational Statistics. 1981;6:107–128. https://doi.org/10.3102/10769986006002107</w:t>
      </w:r>
    </w:p>
    <w:p>
      <w:pPr>
        <w:spacing w:after="80"/>
      </w:pPr>
      <w:r>
        <w:rPr>
          <w:sz w:val="18"/>
        </w:rPr>
        <w:t>4. DerSimonian R, Laird N. Meta-analysis in clinical trials. Controlled Clinical Trials. 1986;7:177–188. https://doi.org/10.1016/0197-2456(86)90046-2</w:t>
      </w:r>
    </w:p>
    <w:p>
      <w:pPr>
        <w:spacing w:after="80"/>
      </w:pPr>
      <w:r>
        <w:rPr>
          <w:sz w:val="18"/>
        </w:rPr>
        <w:t>5. Röver C, Knapp G, Friede T. Hartung–Knapp–Sidik–Jonkman approach and its modification for random-effects meta-analysis with few studies. BMC Medical Research Methodology. 2015;15:99. https://doi.org/10.1186/s12874-015-0091-1</w:t>
      </w:r>
    </w:p>
    <w:sectPr w:rsidR="00FC693F" w:rsidRPr="0006063C" w:rsidSect="00034616">
      <w:footerReference w:type="default" r:id="rId9"/>
      <w:pgSz w:w="11909" w:h="16834"/>
      <w:pgMar w:top="1008" w:right="1181" w:bottom="936" w:left="1181"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cs="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cs="Times New Roman" w:eastAsia="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cs="Times New Roman" w:eastAsia="宋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Times New Roman" w:hAnsi="Times New Roman" w:cs="Times New Roman" w:eastAsia="宋体"/>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cs="Times New Roman"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BioEntropy V1.0 补充信息</dc:title>
  <dc:subject>软件方法与统计量定义</dc:subject>
  <dc:creator/>
  <cp:keywords>BioEntropy; V1.0; software methods; NMD; entropy; Hedges g</cp:keywords>
  <dc:description/>
  <cp:lastModifiedBy/>
  <cp:revision>1</cp:revision>
  <dcterms:created xsi:type="dcterms:W3CDTF">2013-12-23T23:15:00Z</dcterms:created>
  <dcterms:modified xsi:type="dcterms:W3CDTF">2013-12-23T23:15:00Z</dcterms:modified>
  <cp:category/>
</cp:coreProperties>
</file>