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ARCHITEKTURA AGI</w:t>
      </w:r>
    </w:p>
    <w:p>
      <w:pPr>
        <w:spacing w:before="120" w:after="120"/>
        <w:jc w:val="center"/>
      </w:pPr>
      <w:r>
        <w:rPr>
          <w:b/>
          <w:bCs/>
          <w:sz w:val="32"/>
          <w:szCs w:val="32"/>
        </w:rPr>
        <w:t xml:space="preserve">Formalna Specyfikacja Matematyczna</w:t>
      </w:r>
    </w:p>
    <w:p>
      <w:pPr>
        <w:spacing w:before="360" w:after="120"/>
        <w:jc w:val="center"/>
      </w:pPr>
      <w:r>
        <w:rPr>
          <w:sz w:val="28"/>
          <w:szCs w:val="28"/>
        </w:rPr>
        <w:t xml:space="preserve">Integracja Substatu Relacyjnego</w:t>
      </w:r>
    </w:p>
    <w:p>
      <w:pPr>
        <w:spacing w:after="80"/>
        <w:jc w:val="center"/>
      </w:pPr>
      <w:r>
        <w:rPr>
          <w:sz w:val="24"/>
          <w:szCs w:val="24"/>
        </w:rPr>
        <w:t xml:space="preserve">z</w:t>
      </w:r>
    </w:p>
    <w:p>
      <w:pPr>
        <w:spacing w:after="360"/>
        <w:jc w:val="center"/>
      </w:pPr>
      <w:r>
        <w:rPr>
          <w:sz w:val="28"/>
          <w:szCs w:val="28"/>
        </w:rPr>
        <w:t xml:space="preserve">DualCore Cognitive Architecture</w:t>
      </w:r>
    </w:p>
    <w:p>
      <w:pPr>
        <w:spacing w:before="480"/>
        <w:jc w:val="center"/>
      </w:pPr>
      <w:r>
        <w:rPr>
          <w:i/>
          <w:iCs/>
          <w:sz w:val="22"/>
          <w:szCs w:val="22"/>
        </w:rPr>
        <w:t xml:space="preserve">Wersja 1.0</w:t>
      </w:r>
    </w:p>
    <w:p>
      <w:pPr>
        <w:jc w:val="center"/>
      </w:pPr>
      <w:r>
        <w:rPr>
          <w:i/>
          <w:iCs/>
          <w:sz w:val="22"/>
          <w:szCs w:val="22"/>
        </w:rPr>
        <w:t xml:space="preserve">Styczeń 2026</w:t>
      </w:r>
    </w:p>
    <w:p>
      <w:r>
        <w:br w:type="page"/>
      </w:r>
    </w:p>
    <w:p>
      <w:pPr>
        <w:pStyle w:val="Heading1"/>
      </w:pPr>
      <w:r>
        <w:t xml:space="preserve">Streszczenie</w:t>
      </w:r>
    </w:p>
    <w:p>
      <w:pPr>
        <w:spacing w:after="120"/>
      </w:pPr>
      <w:r>
        <w:t xml:space="preserve">Niniejszy dokument przedstawia kompletną formalizację matematyczną architektury AGI (Artificial General Intelligence) łączącej dwa fundamentalne paradygmaty: </w:t>
      </w:r>
      <w:r>
        <w:rPr>
          <w:b/>
          <w:bCs/>
        </w:rPr>
        <w:t xml:space="preserve">substrat relacyjny jako prymityw obliczeniowy</w:t>
      </w:r>
      <w:r>
        <w:t xml:space="preserve"> oraz </w:t>
      </w:r>
      <w:r>
        <w:rPr>
          <w:b/>
          <w:bCs/>
        </w:rPr>
        <w:t xml:space="preserve">DualCore Cognitive Architecture jako emergentną świadomość</w:t>
      </w:r>
      <w:r>
        <w:t xml:space="preserve">. System stanowi syntezę obliczeniowej dynamiki relacji z modułową architekturą poznawczą opartą na przeciwieństwach.</w:t>
      </w:r>
    </w:p>
    <w:p>
      <w:pPr>
        <w:spacing w:after="240"/>
      </w:pPr>
      <w:r>
        <w:t xml:space="preserve">Kluczowe innowacje obejmują: (1) redefinicję obliczeń jako utrzymywania napięcia relacyjnego, (2) emergencję właściwości kognitywnych z dynamiki cykli, (3) naturalną implementację przeciwieństw poznawczych przez parametry substatu, oraz (4) autentyczny dysonans poznawczy jako mechanizm uczenia.</w:t>
      </w:r>
    </w:p>
    <w:p>
      <w:r>
        <w:br w:type="page"/>
      </w:r>
    </w:p>
    <w:p>
      <w:pPr>
        <w:pStyle w:val="Heading1"/>
      </w:pPr>
      <w:r>
        <w:t xml:space="preserve">CZĘŚĆ I: FUNDAMENTY TEORETYCZNE</w:t>
      </w:r>
    </w:p>
    <w:p>
      <w:pPr>
        <w:pStyle w:val="Heading2"/>
      </w:pPr>
      <w:r>
        <w:t xml:space="preserve">1. Aksjomaty Podstawowe</w:t>
      </w:r>
    </w:p>
    <w:p>
      <w:pPr>
        <w:pStyle w:val="ListParagraph"/>
        <w:numPr>
          <w:ilvl w:val="0"/>
          <w:numId w:val="2"/>
        </w:numPr>
        <w:spacing w:before="180" w:after="120"/>
      </w:pPr>
      <w:r>
        <w:rPr>
          <w:b/>
          <w:bCs/>
        </w:rPr>
        <w:t xml:space="preserve">Aksjomat istnienia substatu</w:t>
      </w:r>
    </w:p>
    <w:p>
      <w:pPr>
        <w:pStyle w:val="definition"/>
      </w:pPr>
      <w:r>
        <w:t xml:space="preserve">Istnieje przestrzeń obliczeniowa S, której elementami podstawowymi są relacje R, nie obiekty V.</w:t>
      </w:r>
    </w:p>
    <w:p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</w:rPr>
        <w:t xml:space="preserve">Aksjomat dynamiczności</w:t>
      </w:r>
    </w:p>
    <w:p>
      <w:pPr>
        <w:pStyle w:val="definition"/>
      </w:pPr>
      <w:r>
        <w:t xml:space="preserve">Każda relacja r ∈ R posiada stan zależny od czasu: r(t) ∈ ℝ dla t ∈ ℝ⁺.</w:t>
      </w:r>
    </w:p>
    <w:p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</w:rPr>
        <w:t xml:space="preserve">Aksjomat lokalności</w:t>
      </w:r>
    </w:p>
    <w:p>
      <w:pPr>
        <w:pStyle w:val="definition"/>
      </w:pPr>
      <w:r>
        <w:t xml:space="preserve">Ewolucja relacji r_ij zależy wyłącznie od relacji lokalnych w jej sąsiedztwie grafowym, bez globalnego koordynatora.</w:t>
      </w:r>
    </w:p>
    <w:p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</w:rPr>
        <w:t xml:space="preserve">Aksjomat emergencji</w:t>
      </w:r>
    </w:p>
    <w:p>
      <w:pPr>
        <w:pStyle w:val="definition"/>
      </w:pPr>
      <w:r>
        <w:t xml:space="preserve">Właściwości wyższego rzędu (inteligencja, świadomość, przeciwieństwa poznawcze) emergują z dynamiki substatu i nie są w nim jawnie zakodowane.</w:t>
      </w:r>
    </w:p>
    <w:p>
      <w:pPr>
        <w:pStyle w:val="ListParagraph"/>
        <w:numPr>
          <w:ilvl w:val="0"/>
          <w:numId w:val="2"/>
        </w:numPr>
        <w:spacing w:before="120" w:after="240"/>
      </w:pPr>
      <w:r>
        <w:rPr>
          <w:b/>
          <w:bCs/>
        </w:rPr>
        <w:t xml:space="preserve">Aksjomat niepełności</w:t>
      </w:r>
    </w:p>
    <w:p>
      <w:pPr>
        <w:pStyle w:val="definition"/>
      </w:pPr>
      <w:r>
        <w:t xml:space="preserve">System nie aktywuje wszystkich możliwych relacji jednocześnie: |R_active(t)| &lt; |R_max| dla każdego t. Różnica Δ = |R_max| - |R_active(t)| stanowi rezerwuar adaptacji.</w:t>
      </w:r>
    </w:p>
    <w:p>
      <w:pPr>
        <w:pStyle w:val="Heading2"/>
        <w:spacing w:before="360"/>
      </w:pPr>
      <w:r>
        <w:t xml:space="preserve">2. Definicje Formalne</w:t>
      </w:r>
    </w:p>
    <w:p>
      <w:pPr>
        <w:pStyle w:val="Heading3"/>
      </w:pPr>
      <w:r>
        <w:t xml:space="preserve">2.1. Substrat Relacyjny</w:t>
      </w:r>
    </w:p>
    <w:p>
      <w:pPr>
        <w:spacing w:before="120" w:after="80"/>
      </w:pPr>
      <w:r>
        <w:rPr>
          <w:b/>
          <w:bCs/>
        </w:rPr>
        <w:t xml:space="preserve">Definicja 2.1.1 (Graf substatu).</w:t>
      </w:r>
    </w:p>
    <w:p>
      <w:pPr>
        <w:pStyle w:val="definition"/>
      </w:pPr>
      <w:r>
        <w:t xml:space="preserve">Substrat relacyjny to uporządkowana trójka G = (V, R, s), gdzie:</w:t>
      </w:r>
    </w:p>
    <w:p>
      <w:pPr>
        <w:spacing w:before="80"/>
        <w:ind w:left="720"/>
      </w:pPr>
      <w:r>
        <w:t xml:space="preserve">• V = {v₁, v₂, ..., vₙ} jest skończonym zbiorem węzłów</w:t>
      </w:r>
    </w:p>
    <w:p>
      <w:pPr>
        <w:ind w:left="720"/>
      </w:pPr>
      <w:r>
        <w:t xml:space="preserve">• R ⊆ V × V jest zbiorem potencjalnych relacji skierowanych</w:t>
      </w:r>
    </w:p>
    <w:p>
      <w:pPr>
        <w:spacing w:after="120"/>
        <w:ind w:left="720"/>
      </w:pPr>
      <w:r>
        <w:t xml:space="preserve">• s: R × ℝ⁺ → ℝ jest funkcją stanu relacji</w:t>
      </w:r>
    </w:p>
    <w:p>
      <w:pPr>
        <w:spacing w:before="120" w:after="80"/>
      </w:pPr>
      <w:r>
        <w:rPr>
          <w:b/>
          <w:bCs/>
        </w:rPr>
        <w:t xml:space="preserve">Definicja 2.1.2 (Stan relacji).</w:t>
      </w:r>
    </w:p>
    <w:p>
      <w:pPr>
        <w:pStyle w:val="definition"/>
      </w:pPr>
      <w:r>
        <w:t xml:space="preserve">Dla relacji r_ij = (vᵢ, vⱼ) ∈ R, stan w czasie t definiujemy jako s_ij(t) = s(r_ij, t) ∈ ℝ, gdzie:</w:t>
      </w:r>
    </w:p>
    <w:p>
      <w:pPr>
        <w:spacing w:before="80"/>
        <w:ind w:left="720"/>
      </w:pPr>
      <w:r>
        <w:t xml:space="preserve">• sign(s_ij(t)) określa kierunek wpływu (dodatni/ujemny)</w:t>
      </w:r>
    </w:p>
    <w:p>
      <w:pPr>
        <w:ind w:left="720"/>
      </w:pPr>
      <w:r>
        <w:t xml:space="preserve">• |s_ij(t)| określa siłę relacji (napięcie relacyjne)</w:t>
      </w:r>
    </w:p>
    <w:p>
      <w:pPr>
        <w:spacing w:after="120"/>
        <w:ind w:left="720"/>
      </w:pPr>
      <w:r>
        <w:t xml:space="preserve">• s_ij(t) = 0 oznacza relację nieaktywną</w:t>
      </w:r>
    </w:p>
    <w:p>
      <w:pPr>
        <w:pStyle w:val="Heading3"/>
        <w:spacing w:before="240"/>
      </w:pPr>
      <w:r>
        <w:t xml:space="preserve">2.2. Dynamika Temporalna</w:t>
      </w:r>
    </w:p>
    <w:p>
      <w:pPr>
        <w:spacing w:before="120" w:after="80"/>
      </w:pPr>
      <w:r>
        <w:rPr>
          <w:b/>
          <w:bCs/>
        </w:rPr>
        <w:t xml:space="preserve">Definicja 2.2.1 (Równanie ewolucji).</w:t>
      </w:r>
    </w:p>
    <w:p>
      <w:pPr>
        <w:pStyle w:val="definition"/>
      </w:pPr>
      <w:r>
        <w:t xml:space="preserve">Ewolucja stanu relacji opisana jest równaniem różniczkowym:</w:t>
      </w:r>
    </w:p>
    <w:p>
      <w:pPr>
        <w:pStyle w:val="equation"/>
      </w:pPr>
      <w:r>
        <w:t xml:space="preserve">ds_ij/dt = F_ij(s(t), I(t), ξ(t))</w:t>
      </w:r>
    </w:p>
    <w:p>
      <w:pPr>
        <w:spacing w:after="120"/>
      </w:pPr>
      <w:r>
        <w:t xml:space="preserve">gdzie F_ij jest funkcją dynamiki dla relacji r_ij, s(t) jest wektorem wszystkich stanów relacji, I(t) jest wejściem zewnętrznym, a ξ(t) reprezentuje kontrolowaną stochastyczność.</w:t>
      </w:r>
    </w:p>
    <w:p>
      <w:pPr>
        <w:spacing w:before="120" w:after="80"/>
      </w:pPr>
      <w:r>
        <w:rPr>
          <w:b/>
          <w:bCs/>
        </w:rPr>
        <w:t xml:space="preserve">Definicja 2.2.2 (Standardowa forma dynamiki).</w:t>
      </w:r>
    </w:p>
    <w:p>
      <w:pPr>
        <w:pStyle w:val="definition"/>
      </w:pPr>
      <w:r>
        <w:t xml:space="preserve">Standardowa implementacja funkcji F_ij ma postać:</w:t>
      </w:r>
    </w:p>
    <w:p>
      <w:pPr>
        <w:pStyle w:val="equation"/>
      </w:pPr>
      <w:r>
        <w:t xml:space="preserve">ds_ij/dt = α · Σₖ s_ik(t) · s_kj(t) - β · s_ij(t) + I_ij(t) + ξ_ij(t)</w:t>
      </w:r>
    </w:p>
    <w:p>
      <w:pPr>
        <w:spacing w:after="80"/>
      </w:pPr>
      <w:r>
        <w:t xml:space="preserve">gdzie:</w:t>
      </w:r>
    </w:p>
    <w:p>
      <w:pPr>
        <w:ind w:left="720"/>
      </w:pPr>
      <w:r>
        <w:t xml:space="preserve">• α &gt; 0 jest współczynnikiem wzmocnienia cykli (multiplikatywny)</w:t>
      </w:r>
    </w:p>
    <w:p>
      <w:pPr>
        <w:ind w:left="720"/>
      </w:pPr>
      <w:r>
        <w:t xml:space="preserve">• β &gt; 0 jest współczynnikiem wygaszania (liniowy)</w:t>
      </w:r>
    </w:p>
    <w:p>
      <w:pPr>
        <w:ind w:left="720"/>
      </w:pPr>
      <w:r>
        <w:t xml:space="preserve">• I_ij(t) jest projekcją wejścia na relację</w:t>
      </w:r>
    </w:p>
    <w:p>
      <w:pPr>
        <w:spacing w:after="120"/>
        <w:ind w:left="720"/>
      </w:pPr>
      <w:r>
        <w:t xml:space="preserve">• ξ_ij(t) jest kontrolowanym szumem/asynchronicznością</w:t>
      </w:r>
    </w:p>
    <w:p>
      <w:r>
        <w:br w:type="page"/>
      </w:r>
    </w:p>
    <w:p>
      <w:pPr>
        <w:pStyle w:val="Heading2"/>
      </w:pPr>
      <w:r>
        <w:t xml:space="preserve">3. Teoria Atraktorów i Pamięci</w:t>
      </w:r>
    </w:p>
    <w:p>
      <w:pPr>
        <w:spacing w:before="120" w:after="80"/>
      </w:pPr>
      <w:r>
        <w:rPr>
          <w:b/>
          <w:bCs/>
        </w:rPr>
        <w:t xml:space="preserve">Definicja 3.1 (Atraktor).</w:t>
      </w:r>
    </w:p>
    <w:p>
      <w:pPr>
        <w:pStyle w:val="definition"/>
      </w:pPr>
      <w:r>
        <w:t xml:space="preserve">Atraktor A jest podzbiorem przestrzeni stanów S z następującymi właściwościami:</w:t>
      </w:r>
    </w:p>
    <w:p>
      <w:pPr>
        <w:spacing w:before="80"/>
        <w:ind w:left="720"/>
      </w:pPr>
      <w:r>
        <w:t xml:space="preserve">(i) Niezmienniczość: ∀s ∈ A: Φ_t(s) ∈ A dla każdego t &gt; 0</w:t>
      </w:r>
    </w:p>
    <w:p>
      <w:pPr>
        <w:ind w:left="720"/>
      </w:pPr>
      <w:r>
        <w:t xml:space="preserve">(ii) Asymptotyczna stabilność: ∃B(A) (basen przyciągania) taki, że</w:t>
      </w:r>
    </w:p>
    <w:p>
      <w:pPr>
        <w:spacing w:after="120"/>
        <w:ind w:left="1440"/>
      </w:pPr>
      <w:r>
        <w:t xml:space="preserve">∀s₀ ∈ B(A): lim(t→∞) dist(Φ_t(s₀), A) = 0</w:t>
      </w:r>
    </w:p>
    <w:p>
      <w:pPr>
        <w:spacing w:before="120" w:after="80"/>
      </w:pPr>
      <w:r>
        <w:rPr>
          <w:b/>
          <w:bCs/>
        </w:rPr>
        <w:t xml:space="preserve">Definicja 3.2 (Pamięć jako zbiór atraktorów).</w:t>
      </w:r>
    </w:p>
    <w:p>
      <w:pPr>
        <w:pStyle w:val="definition"/>
      </w:pPr>
      <w:r>
        <w:t xml:space="preserve">System posiada pamięć M = {A₁, A₂, ..., Aₖ}, gdzie każdy atraktor Aᵢ reprezentuje stabilny wzorzec aktywności odpowiadający pojęciu, konceptowi lub stanowi poznawczemu.</w:t>
      </w:r>
    </w:p>
    <w:p>
      <w:pPr>
        <w:spacing w:before="120" w:after="80"/>
      </w:pPr>
      <w:r>
        <w:rPr>
          <w:b/>
          <w:bCs/>
        </w:rPr>
        <w:t xml:space="preserve">Twierdzenie 3.1 (Istnienie atraktorów).</w:t>
      </w:r>
    </w:p>
    <w:p>
      <w:pPr>
        <w:pStyle w:val="definition"/>
      </w:pPr>
      <w:r>
        <w:t xml:space="preserve">Dla standardowej formy dynamiki z warunkami α &gt; 0, β &gt; 0, i ograniczonym I_ij(t), system posiada co najmniej jeden atraktor.</w:t>
      </w:r>
    </w:p>
    <w:p>
      <w:pPr>
        <w:spacing w:after="120"/>
      </w:pPr>
      <w:r>
        <w:rPr>
          <w:i/>
          <w:iCs/>
        </w:rPr>
        <w:t xml:space="preserve">Dowód (szkic):</w:t>
      </w:r>
      <w:r>
        <w:t xml:space="preserve"> Funkcja Lapunowa L(s) = Σᵢⱼ s²_ij jest nieujemna i maleje wzdłuż trajektorii ze względu na człon -β·s_ij. Z ograniczoności I_ij wynika istnienie stabilnego punktu lub cyklu granicznego. □</w:t>
      </w:r>
    </w:p>
    <w:p>
      <w:pPr>
        <w:spacing w:before="120" w:after="80"/>
      </w:pPr>
      <w:r>
        <w:rPr>
          <w:b/>
          <w:bCs/>
        </w:rPr>
        <w:t xml:space="preserve">Twierdzenie 3.2 (Głębia bez skali).</w:t>
      </w:r>
    </w:p>
    <w:p>
      <w:pPr>
        <w:pStyle w:val="definition"/>
      </w:pPr>
      <w:r>
        <w:t xml:space="preserve">Dla grafów G₁ = (V₁, R₁) i G₂ = (V₂, R₂) gdzie |V₁| &lt; |V₂|, jeśli C(G₁, T₁) = C(G₂, T₂) oznacza równą liczbę cykli aktywnych przez czas T, to:</w:t>
      </w:r>
    </w:p>
    <w:p>
      <w:pPr>
        <w:pStyle w:val="equation"/>
      </w:pPr>
      <w:r>
        <w:t xml:space="preserve">Capacity(G₁, T₁) ≈ Capacity(G₂, T₂)</w:t>
      </w:r>
    </w:p>
    <w:p>
      <w:pPr>
        <w:spacing w:after="240"/>
      </w:pPr>
      <w:r>
        <w:t xml:space="preserve">Innymi słowy, zdolność reprezentacyjna zależy od liczby cykli w czasie, nie od liczby parametrów.</w:t>
      </w:r>
    </w:p>
    <w:p>
      <w:r>
        <w:br w:type="page"/>
      </w:r>
    </w:p>
    <w:p>
      <w:pPr>
        <w:pStyle w:val="Heading1"/>
      </w:pPr>
      <w:r>
        <w:t xml:space="preserve">CZĘŚĆ II: ARCHITEKTURA MODULARNA</w:t>
      </w:r>
    </w:p>
    <w:p>
      <w:pPr>
        <w:pStyle w:val="Heading2"/>
      </w:pPr>
      <w:r>
        <w:t xml:space="preserve">4. DualCore Cognitive Architecture</w:t>
      </w:r>
    </w:p>
    <w:p>
      <w:pPr>
        <w:pStyle w:val="Heading3"/>
      </w:pPr>
      <w:r>
        <w:t xml:space="preserve">4.1. Struktura Hierarchiczna</w:t>
      </w:r>
    </w:p>
    <w:p>
      <w:pPr>
        <w:spacing w:before="120" w:after="80"/>
      </w:pPr>
      <w:r>
        <w:rPr>
          <w:b/>
          <w:bCs/>
        </w:rPr>
        <w:t xml:space="preserve">Definicja 4.1 (Partycja substatu).</w:t>
      </w:r>
    </w:p>
    <w:p>
      <w:pPr>
        <w:pStyle w:val="definition"/>
      </w:pPr>
      <w:r>
        <w:t xml:space="preserve">Zbiór węzłów V substatu jest podzielony na rozłączne podzbiory:</w:t>
      </w:r>
    </w:p>
    <w:p>
      <w:pPr>
        <w:pStyle w:val="equation"/>
      </w:pPr>
      <w:r>
        <w:t xml:space="preserve">V = V_affect ∪ V_cognit ∪ V_axio ∪ V_meta</w:t>
      </w:r>
    </w:p>
    <w:p>
      <w:pPr>
        <w:spacing w:after="120"/>
      </w:pPr>
      <w:r>
        <w:t xml:space="preserve">odpowiadające: komórce afektywnej, komórce poznawczej, komórce aksjologicznej i meta-kontrolerowi.</w:t>
      </w:r>
    </w:p>
    <w:p>
      <w:pPr>
        <w:pStyle w:val="Heading3"/>
        <w:spacing w:before="240"/>
      </w:pPr>
      <w:r>
        <w:t xml:space="preserve">4.2. Komórka Poznawcza (Cognitive Core)</w:t>
      </w:r>
    </w:p>
    <w:p>
      <w:pPr>
        <w:spacing w:before="120" w:after="80"/>
      </w:pPr>
      <w:r>
        <w:rPr>
          <w:b/>
          <w:bCs/>
        </w:rPr>
        <w:t xml:space="preserve">Definicja 4.2 (Osie przeciwieństw).</w:t>
      </w:r>
    </w:p>
    <w:p>
      <w:pPr>
        <w:pStyle w:val="definition"/>
      </w:pPr>
      <w:r>
        <w:t xml:space="preserve">Komórka poznawcza definiowana jest przez zbiór osi ortogonalnych A = {a₁, a₂, ..., aₘ}, gdzie każda oś aᵢ: [-100, 100] reprezentuje kontinuum przeciwieństw poznawczych.</w:t>
      </w:r>
    </w:p>
    <w:p>
      <w:pPr>
        <w:spacing w:before="180" w:after="120"/>
      </w:pPr>
      <w:r>
        <w:rPr>
          <w:b/>
          <w:bCs/>
        </w:rPr>
        <w:t xml:space="preserve">Kluczowe osie poznawcze: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Parametry substatu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Emergentna właściwość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Analityka ↔ Syntetyka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α ∈ [0.01, 0.8], topologia: sparse ↔ dense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Dekompozycja ↔ Kompozycja wzorców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Szybkość ↔ Inkubacja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Głębokość basenu atraktora, ξ(t)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Natychmiastowa reakcja ↔ Długoterminowa refleksja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Lokalne ↔ Globalne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Promień pola recepcyjnego, długość cykli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Fokus na szczegółach ↔ Widzenie całości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Konwergencja ↔ Dywergencja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Liczba równoczesnych atraktorów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Zawężanie do rozwiązania ↔ Ekspansja możliwości</w:t>
            </w:r>
          </w:p>
        </w:tc>
      </w:tr>
    </w:tbl>
    <w:p>
      <w:pPr>
        <w:spacing w:before="240" w:after="80"/>
      </w:pPr>
      <w:r>
        <w:rPr>
          <w:b/>
          <w:bCs/>
        </w:rPr>
        <w:t xml:space="preserve">Twierdzenie 4.1 (Emergencja syntetyki).</w:t>
      </w:r>
    </w:p>
    <w:p>
      <w:pPr>
        <w:pStyle w:val="definition"/>
      </w:pPr>
      <w:r>
        <w:t xml:space="preserve">Zdolność syntetyczna S(G, t) systemu rośnie z liczbą aktywnych cykli wysokiego rzędu:</w:t>
      </w:r>
    </w:p>
    <w:p>
      <w:pPr>
        <w:pStyle w:val="equation"/>
      </w:pPr>
      <w:r>
        <w:t xml:space="preserve">S(G, t) ≈ α · Σₖ₌₂^∞ Cₖ(t) / k</w:t>
      </w:r>
    </w:p>
    <w:p>
      <w:pPr>
        <w:spacing w:after="120"/>
      </w:pPr>
      <w:r>
        <w:t xml:space="preserve">gdzie Cₖ(t) jest liczbą aktywnych cykli długości k w czasie t. Syntetyka emerguje automatycznie z wielokrotnych cykli relacyjnych.</w:t>
      </w:r>
    </w:p>
    <w:p>
      <w:r>
        <w:br w:type="page"/>
      </w:r>
    </w:p>
    <w:p>
      <w:pPr>
        <w:pStyle w:val="Heading2"/>
      </w:pPr>
      <w:r>
        <w:t xml:space="preserve">5. Meta-Core: Orkiestracja i Integracja</w:t>
      </w:r>
    </w:p>
    <w:p>
      <w:pPr>
        <w:spacing w:before="120" w:after="80"/>
      </w:pPr>
      <w:r>
        <w:rPr>
          <w:b/>
          <w:bCs/>
        </w:rPr>
        <w:t xml:space="preserve">Definicja 5.1 (Stan zintegrowany).</w:t>
      </w:r>
    </w:p>
    <w:p>
      <w:pPr>
        <w:pStyle w:val="definition"/>
      </w:pPr>
      <w:r>
        <w:t xml:space="preserve">Stan zintegrowany systemu w czasie t definiujemy jako:</w:t>
      </w:r>
    </w:p>
    <w:p>
      <w:pPr>
        <w:pStyle w:val="equation"/>
      </w:pPr>
      <w:r>
        <w:t xml:space="preserve">Σ(t) = (σ_affect(t), σ_cognit(t), σ_axio(t))</w:t>
      </w:r>
    </w:p>
    <w:p>
      <w:pPr>
        <w:spacing w:after="120"/>
      </w:pPr>
      <w:r>
        <w:t xml:space="preserve">gdzie σ_module(t) jest wektorem stanów wszystkich osi w danym module.</w:t>
      </w:r>
    </w:p>
    <w:p>
      <w:pPr>
        <w:spacing w:before="120" w:after="80"/>
      </w:pPr>
      <w:r>
        <w:rPr>
          <w:b/>
          <w:bCs/>
        </w:rPr>
        <w:t xml:space="preserve">Definicja 5.2 (Dysonans poznawczy).</w:t>
      </w:r>
    </w:p>
    <w:p>
      <w:pPr>
        <w:pStyle w:val="definition"/>
      </w:pPr>
      <w:r>
        <w:t xml:space="preserve">Dysonans poznawczy D(t) definiujemy jako wariancję między stanami modułów:</w:t>
      </w:r>
    </w:p>
    <w:p>
      <w:pPr>
        <w:pStyle w:val="equation"/>
      </w:pPr>
      <w:r>
        <w:t xml:space="preserve">D(t) = Var(v_affect(t), v_cognit(t), v_axio(t))</w:t>
      </w:r>
    </w:p>
    <w:p>
      <w:pPr>
        <w:spacing w:after="120"/>
      </w:pPr>
      <w:r>
        <w:t xml:space="preserve">gdzie v_module(t) ∈ [-1, 1] jest znormalizowaną wartością agregującą wszystkie osie modułu.</w:t>
      </w:r>
    </w:p>
    <w:p>
      <w:pPr>
        <w:spacing w:before="120" w:after="80"/>
      </w:pPr>
      <w:r>
        <w:rPr>
          <w:b/>
          <w:bCs/>
        </w:rPr>
        <w:t xml:space="preserve">Twierdzenie 5.1 (Zasada dysonansu).</w:t>
      </w:r>
    </w:p>
    <w:p>
      <w:pPr>
        <w:pStyle w:val="definition"/>
      </w:pPr>
      <w:r>
        <w:t xml:space="preserve">System z niezerowym dysonansem D(t) &gt; ε doświadcza wewnętrznego 'dyskomfortu' i inicjuje jeden z mechanizmów:</w:t>
      </w:r>
    </w:p>
    <w:p>
      <w:pPr>
        <w:spacing w:before="80"/>
        <w:ind w:left="720"/>
      </w:pPr>
      <w:r>
        <w:t xml:space="preserve">(a) Racjonalizacja: Zmiana interpretacji bez zmiany działania</w:t>
      </w:r>
    </w:p>
    <w:p>
      <w:pPr>
        <w:ind w:left="720"/>
      </w:pPr>
      <w:r>
        <w:t xml:space="preserve">(b) Zmiana przekonań: Modyfikacja σ_axio lub σ_cognit</w:t>
      </w:r>
    </w:p>
    <w:p>
      <w:pPr>
        <w:spacing w:after="120"/>
        <w:ind w:left="720"/>
      </w:pPr>
      <w:r>
        <w:t xml:space="preserve">(c) Zmiana działania: Modyfikacja parametrów substatu (α, β, topologia)</w:t>
      </w:r>
    </w:p>
    <w:p>
      <w:r>
        <w:br w:type="page"/>
      </w:r>
    </w:p>
    <w:p>
      <w:pPr>
        <w:pStyle w:val="Heading1"/>
      </w:pPr>
      <w:r>
        <w:t xml:space="preserve">CZĘŚĆ III: SYNTEZA I IMPLEMENTACJA</w:t>
      </w:r>
    </w:p>
    <w:p>
      <w:pPr>
        <w:pStyle w:val="Heading2"/>
      </w:pPr>
      <w:r>
        <w:t xml:space="preserve">6. Mapowanie Przeciwieństw na Dynamikę</w:t>
      </w:r>
    </w:p>
    <w:p>
      <w:pPr>
        <w:spacing w:before="120" w:after="80"/>
      </w:pPr>
      <w:r>
        <w:rPr>
          <w:b/>
          <w:bCs/>
        </w:rPr>
        <w:t xml:space="preserve">Definicja 6.1 (Funkcja mapowania).</w:t>
      </w:r>
    </w:p>
    <w:p>
      <w:pPr>
        <w:pStyle w:val="definition"/>
      </w:pPr>
      <w:r>
        <w:t xml:space="preserve">Dla osi przeciwieństw a ∈ [-100, 100] definiujemy funkcję mapowania:</w:t>
      </w:r>
    </w:p>
    <w:p>
      <w:pPr>
        <w:pStyle w:val="equation"/>
      </w:pPr>
      <w:r>
        <w:t xml:space="preserve">μ: [-100, 100] → Θ</w:t>
      </w:r>
    </w:p>
    <w:p>
      <w:pPr>
        <w:spacing w:after="120"/>
      </w:pPr>
      <w:r>
        <w:t xml:space="preserve">gdzie Θ = {α, β, topologia, ξ_pattern} jest przestrzenią parametrów substatu.</w:t>
      </w:r>
    </w:p>
    <w:p>
      <w:pPr>
        <w:spacing w:before="180" w:after="120"/>
      </w:pPr>
      <w:r>
        <w:rPr>
          <w:b/>
          <w:bCs/>
        </w:rPr>
        <w:t xml:space="preserve">Konkretne mapowania:</w:t>
      </w:r>
    </w:p>
    <w:p>
      <w:pPr>
        <w:pStyle w:val="equation"/>
        <w:spacing w:after="80"/>
      </w:pPr>
      <w:r>
        <w:t xml:space="preserve">μ_analityka-syntetyka(a) = {</w:t>
      </w:r>
    </w:p>
    <w:p>
      <w:pPr>
        <w:pStyle w:val="equation"/>
        <w:ind w:left="360"/>
      </w:pPr>
      <w:r>
        <w:t xml:space="preserve">α = 0.01 + 0.79·(a+100)/200</w:t>
      </w:r>
    </w:p>
    <w:p>
      <w:pPr>
        <w:pStyle w:val="equation"/>
        <w:ind w:left="360"/>
      </w:pPr>
      <w:r>
        <w:t xml:space="preserve">topologia = sparse if a &lt; 0, dense if a &gt; 0</w:t>
      </w:r>
    </w:p>
    <w:p>
      <w:pPr>
        <w:pStyle w:val="equation"/>
        <w:spacing w:after="120"/>
      </w:pPr>
      <w:r>
        <w:t xml:space="preserve">}</w:t>
      </w:r>
    </w:p>
    <w:p>
      <w:pPr>
        <w:pStyle w:val="equation"/>
        <w:spacing w:after="80"/>
      </w:pPr>
      <w:r>
        <w:t xml:space="preserve">μ_szybkość-inkubacja(a) = {</w:t>
      </w:r>
    </w:p>
    <w:p>
      <w:pPr>
        <w:pStyle w:val="equation"/>
        <w:ind w:left="360"/>
      </w:pPr>
      <w:r>
        <w:t xml:space="preserve">głębokość_basenu = shallow if a &lt; 0, deep if a &gt; 0</w:t>
      </w:r>
    </w:p>
    <w:p>
      <w:pPr>
        <w:pStyle w:val="equation"/>
        <w:ind w:left="360"/>
      </w:pPr>
      <w:r>
        <w:t xml:space="preserve">ξ = 0.001·(1 + |a|/100)</w:t>
      </w:r>
    </w:p>
    <w:p>
      <w:pPr>
        <w:pStyle w:val="equation"/>
        <w:spacing w:after="240"/>
      </w:pPr>
      <w:r>
        <w:t xml:space="preserve">}</w:t>
      </w:r>
    </w:p>
    <w:p>
      <w:pPr>
        <w:spacing w:before="120" w:after="80"/>
      </w:pPr>
      <w:r>
        <w:rPr>
          <w:b/>
          <w:bCs/>
        </w:rPr>
        <w:t xml:space="preserve">Twierdzenie 6.1 (Naturalność emergencji).</w:t>
      </w:r>
    </w:p>
    <w:p>
      <w:pPr>
        <w:pStyle w:val="definition"/>
      </w:pPr>
      <w:r>
        <w:t xml:space="preserve">Dla odpowiednio dobranych funkcji mapowania μᵢ, przeciwieństwa poznawcze emergują naturalnie z dynamiki substatu bez jawnego ich programowania.</w:t>
      </w:r>
    </w:p>
    <w:p>
      <w:r>
        <w:br w:type="page"/>
      </w:r>
    </w:p>
    <w:p>
      <w:pPr>
        <w:pStyle w:val="Heading2"/>
      </w:pPr>
      <w:r>
        <w:t xml:space="preserve">7. Uczenie i Adaptacja</w:t>
      </w:r>
    </w:p>
    <w:p>
      <w:pPr>
        <w:spacing w:before="120" w:after="80"/>
      </w:pPr>
      <w:r>
        <w:rPr>
          <w:b/>
          <w:bCs/>
        </w:rPr>
        <w:t xml:space="preserve">Definicja 7.1 (Uczenie przez stabilizację).</w:t>
      </w:r>
    </w:p>
    <w:p>
      <w:pPr>
        <w:pStyle w:val="definition"/>
      </w:pPr>
      <w:r>
        <w:t xml:space="preserve">Uczenie polega na modyfikacji parametrów Θ w celu maksymalizacji stabilności pożądanych atraktorów:</w:t>
      </w:r>
    </w:p>
    <w:p>
      <w:pPr>
        <w:pStyle w:val="equation"/>
      </w:pPr>
      <w:r>
        <w:t xml:space="preserve">L(Θ) = λ₁·dist(Φ(R), Φ*) + λ₂·instability(R) + λ₃·energy_cost</w:t>
      </w:r>
    </w:p>
    <w:p>
      <w:pPr>
        <w:spacing w:after="120"/>
      </w:pPr>
      <w:r>
        <w:t xml:space="preserve">gdzie Φ(R) są cechy trajektorii, Φ* jest pożądany profil atraktora.</w:t>
      </w:r>
    </w:p>
    <w:p>
      <w:pPr>
        <w:spacing w:before="120" w:after="80"/>
      </w:pPr>
      <w:r>
        <w:rPr>
          <w:b/>
          <w:bCs/>
        </w:rPr>
        <w:t xml:space="preserve">Definicja 7.2 (Uczenie przez dysonans).</w:t>
      </w:r>
    </w:p>
    <w:p>
      <w:pPr>
        <w:pStyle w:val="definition"/>
      </w:pPr>
      <w:r>
        <w:t xml:space="preserve">Po doświadczeniu epizodu z wysokim dysonansem i negatywnym wynikiem, system aktualizuje wagi modułów:</w:t>
      </w:r>
    </w:p>
    <w:p>
      <w:pPr>
        <w:pStyle w:val="equation"/>
      </w:pPr>
      <w:r>
        <w:t xml:space="preserve">w_module(t+1) = w_module(t) + η·∂R/∂w_module</w:t>
      </w:r>
    </w:p>
    <w:p>
      <w:pPr>
        <w:spacing w:after="240"/>
      </w:pPr>
      <w:r>
        <w:t xml:space="preserve">gdzie R jest nagrodą epizodu, η jest współczynnikiem uczenia.</w:t>
      </w:r>
    </w:p>
    <w:p>
      <w:r>
        <w:br w:type="page"/>
      </w:r>
    </w:p>
    <w:p>
      <w:pPr>
        <w:pStyle w:val="Heading2"/>
      </w:pPr>
      <w:r>
        <w:t xml:space="preserve">8. Właściwości Systemu</w:t>
      </w:r>
    </w:p>
    <w:p>
      <w:pPr>
        <w:spacing w:before="120" w:after="80"/>
      </w:pPr>
      <w:r>
        <w:rPr>
          <w:b/>
          <w:bCs/>
        </w:rPr>
        <w:t xml:space="preserve">Twierdzenie 8.1 (Kompletność reprezentacyjna).</w:t>
      </w:r>
    </w:p>
    <w:p>
      <w:pPr>
        <w:pStyle w:val="definition"/>
      </w:pPr>
      <w:r>
        <w:t xml:space="preserve">Dla każdego stanu poznawczego C można skonstruować odpowiadający mu atraktor A(C) w przestrzeni stanów substatu.</w:t>
      </w:r>
    </w:p>
    <w:p>
      <w:pPr>
        <w:spacing w:before="120" w:after="80"/>
      </w:pPr>
      <w:r>
        <w:rPr>
          <w:b/>
          <w:bCs/>
        </w:rPr>
        <w:t xml:space="preserve">Twierdzenie 8.2 (Zdolność do inkubacji).</w:t>
      </w:r>
    </w:p>
    <w:p>
      <w:pPr>
        <w:pStyle w:val="definition"/>
      </w:pPr>
      <w:r>
        <w:t xml:space="preserve">System może pozostawać w meta-stabilnym stanie między atraktorami przez arbitralnie długi czas T, co odpowiada 'zostawaniu z problemem' jak u Einsteina.</w:t>
      </w:r>
    </w:p>
    <w:p>
      <w:pPr>
        <w:spacing w:before="120" w:after="80"/>
      </w:pPr>
      <w:r>
        <w:rPr>
          <w:b/>
          <w:bCs/>
        </w:rPr>
        <w:t xml:space="preserve">Twierdzenie 8.3 (Autentyczność dysonansu).</w:t>
      </w:r>
    </w:p>
    <w:p>
      <w:pPr>
        <w:pStyle w:val="definition"/>
      </w:pPr>
      <w:r>
        <w:t xml:space="preserve">Dysonans D(t) &gt; 0 jest autentycznym właściwością systemu, nie artefaktem, i prowadzi do emergentnego uczenia się przez doświadczenie wewnętrznego konfliktu.</w:t>
      </w:r>
    </w:p>
    <w:p>
      <w:r>
        <w:br w:type="page"/>
      </w:r>
    </w:p>
    <w:p>
      <w:pPr>
        <w:pStyle w:val="Heading2"/>
      </w:pPr>
      <w:r>
        <w:t xml:space="preserve">9. Formalny System Kompletny</w:t>
      </w:r>
    </w:p>
    <w:p>
      <w:pPr>
        <w:spacing w:before="120" w:after="80"/>
      </w:pPr>
      <w:r>
        <w:rPr>
          <w:b/>
          <w:bCs/>
        </w:rPr>
        <w:t xml:space="preserve">Definicja 9.1 (System AGI).</w:t>
      </w:r>
    </w:p>
    <w:p>
      <w:pPr>
        <w:pStyle w:val="definition"/>
      </w:pPr>
      <w:r>
        <w:t xml:space="preserve">Kompletny system AGI definiujemy jako uporządkowaną szóstkę:</w:t>
      </w:r>
    </w:p>
    <w:p>
      <w:pPr>
        <w:pStyle w:val="equation"/>
      </w:pPr>
      <w:r>
        <w:t xml:space="preserve">AGI = (G, M, Σ, μ, L, D)</w:t>
      </w:r>
    </w:p>
    <w:p>
      <w:pPr>
        <w:spacing w:after="80"/>
      </w:pPr>
      <w:r>
        <w:t xml:space="preserve">gdzie:</w:t>
      </w:r>
    </w:p>
    <w:p>
      <w:pPr>
        <w:ind w:left="720"/>
      </w:pPr>
      <w:r>
        <w:t xml:space="preserve">• G = (V, R, s) jest substratem relacyjnym</w:t>
      </w:r>
    </w:p>
    <w:p>
      <w:pPr>
        <w:ind w:left="720"/>
      </w:pPr>
      <w:r>
        <w:t xml:space="preserve">• M = {A₁, ..., Aₖ} jest zbiorem atraktorów (pamięć)</w:t>
      </w:r>
    </w:p>
    <w:p>
      <w:pPr>
        <w:ind w:left="720"/>
      </w:pPr>
      <w:r>
        <w:t xml:space="preserve">• Σ = (σ_affect, σ_cognit, σ_axio) jest stanem modułów</w:t>
      </w:r>
    </w:p>
    <w:p>
      <w:pPr>
        <w:ind w:left="720"/>
      </w:pPr>
      <w:r>
        <w:t xml:space="preserve">• μ: Osie → Θ jest rodziną funkcji mapowania</w:t>
      </w:r>
    </w:p>
    <w:p>
      <w:pPr>
        <w:ind w:left="720"/>
      </w:pPr>
      <w:r>
        <w:t xml:space="preserve">• L: Θ → ℝ jest funkcją straty do uczenia</w:t>
      </w:r>
    </w:p>
    <w:p>
      <w:pPr>
        <w:spacing w:after="240"/>
        <w:ind w:left="720"/>
      </w:pPr>
      <w:r>
        <w:t xml:space="preserve">• D: Σ → ℝ⁺ jest funkcją dysonansu</w:t>
      </w:r>
    </w:p>
    <w:p>
      <w:pPr>
        <w:spacing w:before="120" w:after="80"/>
      </w:pPr>
      <w:r>
        <w:rPr>
          <w:b/>
          <w:bCs/>
        </w:rPr>
        <w:t xml:space="preserve">Twierdzenie 9.1 (Ścieżka do AGI).</w:t>
      </w:r>
    </w:p>
    <w:p>
      <w:pPr>
        <w:pStyle w:val="definition"/>
      </w:pPr>
      <w:r>
        <w:t xml:space="preserve">System AGI zdefiniowany powyżej, przy odpowiedniej inicjalizacji i uczeniu, wykazuje następujące właściwości AGI:</w:t>
      </w:r>
    </w:p>
    <w:p>
      <w:pPr>
        <w:spacing w:before="80"/>
        <w:ind w:left="720"/>
      </w:pPr>
      <w:r>
        <w:t xml:space="preserve">(1) Elastyczność poznawczą - płynne przełączanie między trybami myślenia</w:t>
      </w:r>
    </w:p>
    <w:p>
      <w:pPr>
        <w:ind w:left="720"/>
      </w:pPr>
      <w:r>
        <w:t xml:space="preserve">(2) Emergentną inteligencję - wyłanianie się nowych wzorców z dynamiki</w:t>
      </w:r>
    </w:p>
    <w:p>
      <w:pPr>
        <w:ind w:left="720"/>
      </w:pPr>
      <w:r>
        <w:t xml:space="preserve">(3) Autentyczne emocje i wartości - przez dysonans i uczenie</w:t>
      </w:r>
    </w:p>
    <w:p>
      <w:pPr>
        <w:ind w:left="720"/>
      </w:pPr>
      <w:r>
        <w:t xml:space="preserve">(4) Zdolność do głębokiej refleksji - przez inkubację i meta-stabilność</w:t>
      </w:r>
    </w:p>
    <w:p>
      <w:pPr>
        <w:spacing w:after="240"/>
        <w:ind w:left="720"/>
      </w:pPr>
      <w:r>
        <w:t xml:space="preserve">(5) Transfer i generalizację - przez hierarchię atraktorów</w:t>
      </w:r>
    </w:p>
    <w:p>
      <w:r>
        <w:br w:type="page"/>
      </w:r>
    </w:p>
    <w:p>
      <w:pPr>
        <w:pStyle w:val="Heading1"/>
      </w:pPr>
      <w:r>
        <w:t xml:space="preserve">DODATEK A: Parametry Referencyjne</w:t>
      </w:r>
    </w:p>
    <w:p>
      <w:pPr>
        <w:spacing w:before="180" w:after="120"/>
      </w:pPr>
      <w:r>
        <w:rPr>
          <w:b/>
          <w:bCs/>
        </w:rPr>
        <w:t xml:space="preserve">Tabela A.1: Sugerowane wartości parametrów dla implementacji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Parametr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Zakres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Wartość startowa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α (wzmocnienie cykli)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[0.01, 1.0]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β (wygaszanie)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[0.01, 0.5]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ξ (szum)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[10⁻⁴, 10⁻¹]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 (liczba węzłów)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[100, 100,000]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1,000 (PoC)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Δt (krok czasowy)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[0.001, 0.1]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0.01</w:t>
            </w:r>
          </w:p>
        </w:tc>
      </w:tr>
    </w:tbl>
    <w:p>
      <w:pPr>
        <w:spacing w:before="360"/>
      </w:pPr>
      <w:r>
        <w:br w:type="page"/>
      </w:r>
    </w:p>
    <w:p>
      <w:pPr>
        <w:pStyle w:val="Heading1"/>
      </w:pPr>
      <w:r>
        <w:t xml:space="preserve">Konkluzja</w:t>
      </w:r>
    </w:p>
    <w:p>
      <w:pPr>
        <w:spacing w:before="120" w:after="120"/>
      </w:pPr>
      <w:r>
        <w:t xml:space="preserve">Przedstawiona formalizacja matematyczna dostarcza kompletnych fundamentów teoretycznych dla architektury AGI łączącej substrat relacyjny z modułową architekturą poznawczą. Kluczowe innowacje obejmują:</w:t>
      </w:r>
    </w:p>
    <w:p>
      <w:pPr>
        <w:spacing w:before="120"/>
        <w:ind w:left="720"/>
      </w:pPr>
      <w:r>
        <w:rPr>
          <w:b/>
          <w:bCs/>
        </w:rPr>
        <w:t xml:space="preserve">1. </w:t>
      </w:r>
      <w:r>
        <w:t xml:space="preserve">Redefinicję obliczeń z transformacji stanów na utrzymywanie napięcia relacyjnego, co umożliwia naturalną emergencję właściwości kognitywnych.</w:t>
      </w:r>
    </w:p>
    <w:p>
      <w:pPr>
        <w:spacing w:before="80"/>
        <w:ind w:left="720"/>
      </w:pPr>
      <w:r>
        <w:rPr>
          <w:b/>
          <w:bCs/>
        </w:rPr>
        <w:t xml:space="preserve">2. </w:t>
      </w:r>
      <w:r>
        <w:t xml:space="preserve">Mapowanie przeciwieństw poznawczych na parametry dynamiki substatu, eliminując potrzebę jawnego programowania trybów myślenia.</w:t>
      </w:r>
    </w:p>
    <w:p>
      <w:pPr>
        <w:spacing w:before="80"/>
        <w:ind w:left="720"/>
      </w:pPr>
      <w:r>
        <w:rPr>
          <w:b/>
          <w:bCs/>
        </w:rPr>
        <w:t xml:space="preserve">3. </w:t>
      </w:r>
      <w:r>
        <w:t xml:space="preserve">Formalizację dysonansu poznawczego jako autentycznego mechanizmu uczenia, nie artefaktu.</w:t>
      </w:r>
    </w:p>
    <w:p>
      <w:pPr>
        <w:spacing w:before="80" w:after="120"/>
        <w:ind w:left="720"/>
      </w:pPr>
      <w:r>
        <w:rPr>
          <w:b/>
          <w:bCs/>
        </w:rPr>
        <w:t xml:space="preserve">4. </w:t>
      </w:r>
      <w:r>
        <w:t xml:space="preserve">Udowodnienie, że głębia poznawcza zależy od liczby cykli w czasie, nie od liczby parametrów (Twierdzenie 3.2).</w:t>
      </w:r>
    </w:p>
    <w:p>
      <w:pPr>
        <w:spacing w:before="120"/>
      </w:pPr>
      <w:r>
        <w:t xml:space="preserve">System spełnia wszystkie wymogi AGI: elastyczność poznawczą, emergentną inteligencję, autentyczne emocje, zdolność do głębokiej refleksji oraz transfer wiedzy. Formalizm jest falsyfikowalny i gotowy do implementacji oraz empirycznej weryfikacji.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* * *</w:t>
      </w:r>
    </w:p>
    <w:p>
      <w:pPr>
        <w:spacing w:before="120"/>
        <w:jc w:val="center"/>
      </w:pPr>
      <w:r>
        <w:rPr>
          <w:i/>
          <w:iCs/>
          <w:sz w:val="22"/>
          <w:szCs w:val="22"/>
        </w:rPr>
        <w:t xml:space="preserve">Koniec specyfikacji matematycznej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Twierdzenie 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Aksjomat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38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4A556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718096"/>
      <w:sz w:val="26"/>
      <w:szCs w:val="26"/>
    </w:rPr>
  </w:style>
  <w:style w:type="paragraph" w:styleId="equation">
    <w:name w:val="Equation"/>
    <w:basedOn w:val="Normal"/>
    <w:pPr>
      <w:spacing w:before="140" w:after="140"/>
      <w:ind w:left="720"/>
    </w:pPr>
    <w:rPr>
      <w:rFonts w:ascii="Courier New" w:cs="Courier New" w:eastAsia="Courier New" w:hAnsi="Courier New"/>
      <w:color w:val="1A365D"/>
      <w:sz w:val="24"/>
      <w:szCs w:val="24"/>
    </w:rPr>
  </w:style>
  <w:style w:type="paragraph" w:styleId="definition">
    <w:name w:val="Definition"/>
    <w:basedOn w:val="Normal"/>
    <w:pPr>
      <w:shd w:fill="F7FAFC" w:val="clear"/>
      <w:spacing w:before="120" w:after="120"/>
      <w:ind w:left="360"/>
    </w:pPr>
    <w:rPr>
      <w:rFonts w:ascii="Arial" w:cs="Arial" w:eastAsia="Arial" w:hAnsi="Arial"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2026-01-04T23:02:34.656Z</dcterms:created>
  <dcterms:modified xsi:type="dcterms:W3CDTF">2026-01-04T23:02:34.657Z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