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C71E" w14:textId="531C82BB" w:rsidR="00901D75" w:rsidRPr="00E56412" w:rsidRDefault="00E56412" w:rsidP="00E56412">
      <w:pPr>
        <w:autoSpaceDE w:val="0"/>
        <w:autoSpaceDN w:val="0"/>
        <w:adjustRightInd w:val="0"/>
        <w:spacing w:after="0" w:line="240" w:lineRule="auto"/>
        <w:rPr>
          <w:rFonts w:ascii="Avenir Next LT Pro Light" w:eastAsia="Roboto-Regular" w:hAnsi="Avenir Next LT Pro Light" w:cs="Roboto-Bold"/>
          <w:b/>
          <w:bCs/>
          <w:color w:val="1C4588"/>
        </w:rPr>
      </w:pP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>A firewall that enables you to specify the protocols, ports, and source IP ranges that can reach your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 xml:space="preserve"> 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 xml:space="preserve">instances using </w:t>
      </w:r>
      <w:r w:rsidRPr="00E56412">
        <w:rPr>
          <w:rFonts w:ascii="Avenir Next LT Pro Light" w:eastAsia="Roboto-Regular" w:hAnsi="Avenir Next LT Pro Light" w:cs="Roboto-Bold"/>
          <w:b/>
          <w:bCs/>
          <w:color w:val="1C4588"/>
          <w:sz w:val="28"/>
          <w:szCs w:val="26"/>
        </w:rPr>
        <w:t>security groups</w:t>
      </w:r>
    </w:p>
    <w:p w14:paraId="24C63F72" w14:textId="3036FF8B" w:rsidR="00E56412" w:rsidRPr="00E56412" w:rsidRDefault="00E56412" w:rsidP="00E56412">
      <w:pPr>
        <w:autoSpaceDE w:val="0"/>
        <w:autoSpaceDN w:val="0"/>
        <w:adjustRightInd w:val="0"/>
        <w:spacing w:after="0" w:line="240" w:lineRule="auto"/>
        <w:rPr>
          <w:rFonts w:ascii="Avenir Next LT Pro Light" w:eastAsia="Roboto-Regular" w:hAnsi="Avenir Next LT Pro Light" w:cs="Roboto-Regular"/>
          <w:b/>
          <w:bCs/>
          <w:color w:val="1C4588"/>
        </w:rPr>
      </w:pPr>
      <w:r w:rsidRPr="00E56412">
        <w:rPr>
          <w:rFonts w:ascii="Arial" w:eastAsia="ArialMT" w:hAnsi="Arial" w:cs="Arial"/>
          <w:b/>
          <w:bCs/>
          <w:color w:val="1C4588"/>
        </w:rPr>
        <w:t>○</w:t>
      </w:r>
      <w:r w:rsidRPr="00E56412">
        <w:rPr>
          <w:rFonts w:ascii="Avenir Next LT Pro Light" w:eastAsia="ArialMT" w:hAnsi="Avenir Next LT Pro Light" w:cs="ArialMT"/>
          <w:b/>
          <w:bCs/>
          <w:color w:val="1C4588"/>
        </w:rPr>
        <w:t xml:space="preserve"> 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>Create different security groups to deal with instances that have different security requirements.</w:t>
      </w:r>
    </w:p>
    <w:p w14:paraId="647CC24B" w14:textId="3C6600BC" w:rsidR="00E56412" w:rsidRPr="00E56412" w:rsidRDefault="00E56412" w:rsidP="00E56412">
      <w:pPr>
        <w:autoSpaceDE w:val="0"/>
        <w:autoSpaceDN w:val="0"/>
        <w:adjustRightInd w:val="0"/>
        <w:spacing w:after="0" w:line="240" w:lineRule="auto"/>
        <w:rPr>
          <w:rFonts w:ascii="Avenir Next LT Pro Light" w:eastAsia="Roboto-Regular" w:hAnsi="Avenir Next LT Pro Light" w:cs="Roboto-Regular"/>
          <w:b/>
          <w:bCs/>
          <w:color w:val="1C4588"/>
        </w:rPr>
      </w:pPr>
      <w:r w:rsidRPr="00E56412">
        <w:rPr>
          <w:rFonts w:ascii="Arial" w:eastAsia="ArialMT" w:hAnsi="Arial" w:cs="Arial"/>
          <w:b/>
          <w:bCs/>
          <w:color w:val="1C4588"/>
        </w:rPr>
        <w:t>○</w:t>
      </w:r>
      <w:r w:rsidRPr="00E56412">
        <w:rPr>
          <w:rFonts w:ascii="Avenir Next LT Pro Light" w:eastAsia="ArialMT" w:hAnsi="Avenir Next LT Pro Light" w:cs="ArialMT"/>
          <w:b/>
          <w:bCs/>
          <w:color w:val="1C4588"/>
        </w:rPr>
        <w:t xml:space="preserve"> 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>You can add rules to each security group that allow traffic to or from its associated instances.</w:t>
      </w:r>
    </w:p>
    <w:p w14:paraId="213694D5" w14:textId="3ABB40FA" w:rsidR="00E56412" w:rsidRPr="00E56412" w:rsidRDefault="00E56412" w:rsidP="00E56412">
      <w:pPr>
        <w:autoSpaceDE w:val="0"/>
        <w:autoSpaceDN w:val="0"/>
        <w:adjustRightInd w:val="0"/>
        <w:spacing w:after="0" w:line="240" w:lineRule="auto"/>
        <w:rPr>
          <w:rFonts w:ascii="Avenir Next LT Pro Light" w:eastAsia="Roboto-Regular" w:hAnsi="Avenir Next LT Pro Light" w:cs="Roboto-Regular"/>
          <w:b/>
          <w:bCs/>
          <w:color w:val="1C4588"/>
        </w:rPr>
      </w:pPr>
      <w:r w:rsidRPr="00E56412">
        <w:rPr>
          <w:rFonts w:ascii="Arial" w:eastAsia="ArialMT" w:hAnsi="Arial" w:cs="Arial"/>
          <w:b/>
          <w:bCs/>
          <w:color w:val="1C4588"/>
        </w:rPr>
        <w:t>○</w:t>
      </w:r>
      <w:r w:rsidRPr="00E56412">
        <w:rPr>
          <w:rFonts w:ascii="Avenir Next LT Pro Light" w:eastAsia="ArialMT" w:hAnsi="Avenir Next LT Pro Light" w:cs="ArialMT"/>
          <w:b/>
          <w:bCs/>
          <w:color w:val="1C4588"/>
        </w:rPr>
        <w:t xml:space="preserve"> 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>You can modify the rules for a security group at any time.</w:t>
      </w:r>
    </w:p>
    <w:p w14:paraId="45F88433" w14:textId="54A92070" w:rsidR="00E56412" w:rsidRPr="00E56412" w:rsidRDefault="00E56412" w:rsidP="00E56412">
      <w:pPr>
        <w:autoSpaceDE w:val="0"/>
        <w:autoSpaceDN w:val="0"/>
        <w:adjustRightInd w:val="0"/>
        <w:spacing w:after="0" w:line="240" w:lineRule="auto"/>
        <w:rPr>
          <w:rFonts w:ascii="Avenir Next LT Pro Light" w:eastAsia="Roboto-Regular" w:hAnsi="Avenir Next LT Pro Light" w:cs="Roboto-Regular"/>
          <w:b/>
          <w:bCs/>
          <w:color w:val="1C4588"/>
        </w:rPr>
      </w:pPr>
      <w:r w:rsidRPr="00E56412">
        <w:rPr>
          <w:rFonts w:ascii="Arial" w:eastAsia="ArialMT" w:hAnsi="Arial" w:cs="Arial"/>
          <w:b/>
          <w:bCs/>
          <w:color w:val="1C4588"/>
        </w:rPr>
        <w:t>○</w:t>
      </w:r>
      <w:r w:rsidRPr="00E56412">
        <w:rPr>
          <w:rFonts w:ascii="Avenir Next LT Pro Light" w:eastAsia="ArialMT" w:hAnsi="Avenir Next LT Pro Light" w:cs="ArialMT"/>
          <w:b/>
          <w:bCs/>
          <w:color w:val="1C4588"/>
        </w:rPr>
        <w:t xml:space="preserve"> 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 xml:space="preserve">New rules are automatically applied to all </w:t>
      </w:r>
      <w:r>
        <w:rPr>
          <w:rFonts w:ascii="Avenir Next LT Pro Light" w:eastAsia="Roboto-Regular" w:hAnsi="Avenir Next LT Pro Light" w:cs="Roboto-Regular"/>
          <w:b/>
          <w:bCs/>
          <w:color w:val="1C4588"/>
        </w:rPr>
        <w:t>i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>nstances that are associated with the security group.</w:t>
      </w:r>
    </w:p>
    <w:p w14:paraId="69F463AE" w14:textId="774E5DCC" w:rsidR="00E56412" w:rsidRPr="00E56412" w:rsidRDefault="00E56412" w:rsidP="00E56412">
      <w:pPr>
        <w:autoSpaceDE w:val="0"/>
        <w:autoSpaceDN w:val="0"/>
        <w:adjustRightInd w:val="0"/>
        <w:spacing w:after="0" w:line="240" w:lineRule="auto"/>
        <w:rPr>
          <w:rFonts w:ascii="Avenir Next LT Pro Light" w:eastAsia="Roboto-Regular" w:hAnsi="Avenir Next LT Pro Light" w:cs="Roboto-Regular"/>
          <w:b/>
          <w:bCs/>
          <w:color w:val="1C4588"/>
        </w:rPr>
      </w:pPr>
      <w:r w:rsidRPr="00E56412">
        <w:rPr>
          <w:rFonts w:ascii="Arial" w:eastAsia="ArialMT" w:hAnsi="Arial" w:cs="Arial"/>
          <w:b/>
          <w:bCs/>
          <w:color w:val="1C4588"/>
        </w:rPr>
        <w:t>○</w:t>
      </w:r>
      <w:r w:rsidRPr="00E56412">
        <w:rPr>
          <w:rFonts w:ascii="Avenir Next LT Pro Light" w:eastAsia="ArialMT" w:hAnsi="Avenir Next LT Pro Light" w:cs="ArialMT"/>
          <w:b/>
          <w:bCs/>
          <w:color w:val="1C4588"/>
        </w:rPr>
        <w:t xml:space="preserve"> 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>Evaluates all the rules from all the security groups that are associated with an instance to</w:t>
      </w:r>
    </w:p>
    <w:p w14:paraId="5FA0EB2B" w14:textId="7CE78E85" w:rsidR="00E56412" w:rsidRPr="00E56412" w:rsidRDefault="00E56412" w:rsidP="00E56412">
      <w:pPr>
        <w:autoSpaceDE w:val="0"/>
        <w:autoSpaceDN w:val="0"/>
        <w:adjustRightInd w:val="0"/>
        <w:spacing w:after="0" w:line="240" w:lineRule="auto"/>
        <w:rPr>
          <w:rFonts w:ascii="Avenir Next LT Pro Light" w:eastAsia="Roboto-Regular" w:hAnsi="Avenir Next LT Pro Light" w:cs="Roboto-Regular"/>
          <w:b/>
          <w:bCs/>
          <w:color w:val="1C4588"/>
        </w:rPr>
      </w:pP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>decide whether to allow traffic or not.</w:t>
      </w:r>
    </w:p>
    <w:p w14:paraId="3B6AAC1C" w14:textId="3BF498EE" w:rsidR="00E56412" w:rsidRPr="00E56412" w:rsidRDefault="00E56412" w:rsidP="00E56412">
      <w:pPr>
        <w:autoSpaceDE w:val="0"/>
        <w:autoSpaceDN w:val="0"/>
        <w:adjustRightInd w:val="0"/>
        <w:spacing w:after="0" w:line="240" w:lineRule="auto"/>
        <w:rPr>
          <w:rFonts w:ascii="Avenir Next LT Pro Light" w:eastAsia="Roboto-Regular" w:hAnsi="Avenir Next LT Pro Light" w:cs="Roboto-Regular"/>
          <w:b/>
          <w:bCs/>
          <w:color w:val="1C4588"/>
        </w:rPr>
      </w:pPr>
      <w:r w:rsidRPr="00E56412">
        <w:rPr>
          <w:rFonts w:ascii="Arial" w:eastAsia="ArialMT" w:hAnsi="Arial" w:cs="Arial"/>
          <w:b/>
          <w:bCs/>
          <w:color w:val="1C4588"/>
        </w:rPr>
        <w:t>○</w:t>
      </w:r>
      <w:r w:rsidRPr="00E56412">
        <w:rPr>
          <w:rFonts w:ascii="Avenir Next LT Pro Light" w:eastAsia="ArialMT" w:hAnsi="Avenir Next LT Pro Light" w:cs="ArialMT"/>
          <w:b/>
          <w:bCs/>
          <w:color w:val="1C4588"/>
        </w:rPr>
        <w:t xml:space="preserve"> 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 xml:space="preserve">By default, security groups allow </w:t>
      </w:r>
      <w:r w:rsidRPr="00E56412">
        <w:rPr>
          <w:rFonts w:ascii="Avenir Next LT Pro Light" w:eastAsia="ArialMT" w:hAnsi="Avenir Next LT Pro Light" w:cs="Roboto-Bold"/>
          <w:b/>
          <w:bCs/>
          <w:color w:val="1C4588"/>
        </w:rPr>
        <w:t>all outbound traffic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>.</w:t>
      </w:r>
    </w:p>
    <w:p w14:paraId="06597FB3" w14:textId="5B3C0438" w:rsidR="00E56412" w:rsidRPr="00E56412" w:rsidRDefault="00E56412" w:rsidP="00E56412">
      <w:pPr>
        <w:autoSpaceDE w:val="0"/>
        <w:autoSpaceDN w:val="0"/>
        <w:adjustRightInd w:val="0"/>
        <w:spacing w:after="0" w:line="240" w:lineRule="auto"/>
        <w:rPr>
          <w:rFonts w:ascii="Avenir Next LT Pro Light" w:eastAsia="Roboto-Regular" w:hAnsi="Avenir Next LT Pro Light" w:cs="Roboto-Regular"/>
          <w:b/>
          <w:bCs/>
          <w:color w:val="1C4588"/>
        </w:rPr>
      </w:pPr>
      <w:r w:rsidRPr="00E56412">
        <w:rPr>
          <w:rFonts w:ascii="Arial" w:eastAsia="ArialMT" w:hAnsi="Arial" w:cs="Arial"/>
          <w:b/>
          <w:bCs/>
          <w:color w:val="1C4588"/>
        </w:rPr>
        <w:t>○</w:t>
      </w:r>
      <w:r w:rsidRPr="00E56412">
        <w:rPr>
          <w:rFonts w:ascii="Avenir Next LT Pro Light" w:eastAsia="ArialMT" w:hAnsi="Avenir Next LT Pro Light" w:cs="ArialMT"/>
          <w:b/>
          <w:bCs/>
          <w:color w:val="1C4588"/>
        </w:rPr>
        <w:t xml:space="preserve"> 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 xml:space="preserve">Security group rules are </w:t>
      </w:r>
      <w:r w:rsidRPr="00E56412">
        <w:rPr>
          <w:rFonts w:ascii="Avenir Next LT Pro Light" w:eastAsia="ArialMT" w:hAnsi="Avenir Next LT Pro Light" w:cs="Roboto-Bold"/>
          <w:b/>
          <w:bCs/>
          <w:color w:val="1C4588"/>
        </w:rPr>
        <w:t xml:space="preserve">always </w:t>
      </w:r>
      <w:r w:rsidRPr="00E56412">
        <w:rPr>
          <w:rFonts w:ascii="Avenir Next LT Pro Light" w:eastAsia="ArialMT" w:hAnsi="Avenir Next LT Pro Light" w:cs="Roboto-Bold"/>
          <w:b/>
          <w:bCs/>
          <w:color w:val="1C4588"/>
        </w:rPr>
        <w:t>permissive;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 xml:space="preserve"> you can't create rules that deny access.</w:t>
      </w:r>
    </w:p>
    <w:p w14:paraId="1E22D37A" w14:textId="0FC2E20E" w:rsidR="00E56412" w:rsidRPr="00E56412" w:rsidRDefault="00E56412" w:rsidP="00E56412">
      <w:pPr>
        <w:autoSpaceDE w:val="0"/>
        <w:autoSpaceDN w:val="0"/>
        <w:adjustRightInd w:val="0"/>
        <w:spacing w:after="0" w:line="240" w:lineRule="auto"/>
        <w:rPr>
          <w:rFonts w:ascii="Avenir Next LT Pro Light" w:eastAsia="Roboto-Regular" w:hAnsi="Avenir Next LT Pro Light" w:cs="Roboto-Regular"/>
          <w:b/>
          <w:bCs/>
          <w:color w:val="1C4588"/>
        </w:rPr>
      </w:pPr>
      <w:r w:rsidRPr="00E56412">
        <w:rPr>
          <w:rFonts w:ascii="Avenir Next LT Pro Light" w:hAnsi="Avenir Next LT Pro Light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128B2B2" wp14:editId="4DFA2D48">
            <wp:simplePos x="0" y="0"/>
            <wp:positionH relativeFrom="column">
              <wp:posOffset>473993</wp:posOffset>
            </wp:positionH>
            <wp:positionV relativeFrom="paragraph">
              <wp:posOffset>1114789</wp:posOffset>
            </wp:positionV>
            <wp:extent cx="4566920" cy="4899660"/>
            <wp:effectExtent l="0" t="0" r="5080" b="0"/>
            <wp:wrapThrough wrapText="bothSides">
              <wp:wrapPolygon edited="0">
                <wp:start x="0" y="0"/>
                <wp:lineTo x="0" y="21499"/>
                <wp:lineTo x="21534" y="21499"/>
                <wp:lineTo x="2153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6412">
        <w:rPr>
          <w:rFonts w:ascii="Arial" w:eastAsia="ArialMT" w:hAnsi="Arial" w:cs="Arial"/>
          <w:b/>
          <w:bCs/>
          <w:color w:val="1C4588"/>
        </w:rPr>
        <w:t>○</w:t>
      </w:r>
      <w:r w:rsidRPr="00E56412">
        <w:rPr>
          <w:rFonts w:ascii="Avenir Next LT Pro Light" w:eastAsia="ArialMT" w:hAnsi="Avenir Next LT Pro Light" w:cs="ArialMT"/>
          <w:b/>
          <w:bCs/>
          <w:color w:val="1C4588"/>
        </w:rPr>
        <w:t xml:space="preserve"> </w:t>
      </w:r>
      <w:r w:rsidRPr="00E56412">
        <w:rPr>
          <w:rFonts w:ascii="Avenir Next LT Pro Light" w:eastAsia="Roboto-Regular" w:hAnsi="Avenir Next LT Pro Light" w:cs="Roboto-Regular"/>
          <w:b/>
          <w:bCs/>
          <w:color w:val="1C4588"/>
        </w:rPr>
        <w:t xml:space="preserve">Security groups are </w:t>
      </w:r>
      <w:r w:rsidRPr="00E56412">
        <w:rPr>
          <w:rFonts w:ascii="Avenir Next LT Pro Light" w:eastAsia="ArialMT" w:hAnsi="Avenir Next LT Pro Light" w:cs="Roboto-Bold"/>
          <w:b/>
          <w:bCs/>
          <w:color w:val="1C4588"/>
          <w:sz w:val="28"/>
          <w:szCs w:val="26"/>
        </w:rPr>
        <w:t>stateful</w:t>
      </w:r>
    </w:p>
    <w:sectPr w:rsidR="00E56412" w:rsidRPr="00E5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Robot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12"/>
    <w:rsid w:val="00901D75"/>
    <w:rsid w:val="009719BB"/>
    <w:rsid w:val="00E56412"/>
    <w:rsid w:val="00EB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742A"/>
  <w15:chartTrackingRefBased/>
  <w15:docId w15:val="{D7AF99AC-551F-451C-9593-4D2B82B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Telgote, Aniket</dc:creator>
  <cp:keywords/>
  <dc:description/>
  <cp:lastModifiedBy>Telgote, Aniket</cp:lastModifiedBy>
  <cp:revision>1</cp:revision>
  <cp:lastPrinted>2022-07-04T09:11:00Z</cp:lastPrinted>
  <dcterms:created xsi:type="dcterms:W3CDTF">2022-07-04T09:10:00Z</dcterms:created>
  <dcterms:modified xsi:type="dcterms:W3CDTF">2022-07-04T09:18:00Z</dcterms:modified>
</cp:coreProperties>
</file>