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CA1039" w:rsidP="00CA1039">
      <w:pPr>
        <w:jc w:val="center"/>
        <w:rPr>
          <w:sz w:val="28"/>
          <w:u w:val="single"/>
        </w:rPr>
      </w:pPr>
      <w:r w:rsidRPr="00CA1039">
        <w:rPr>
          <w:sz w:val="28"/>
          <w:u w:val="single"/>
        </w:rPr>
        <w:t>Autonomie ECS : Automatique</w:t>
      </w:r>
    </w:p>
    <w:p w:rsidR="00CA1039" w:rsidRDefault="00CA1039" w:rsidP="00CA1039">
      <w:pPr>
        <w:jc w:val="center"/>
        <w:rPr>
          <w:sz w:val="28"/>
          <w:u w:val="single"/>
        </w:rPr>
      </w:pPr>
    </w:p>
    <w:p w:rsidR="00CA1039" w:rsidRDefault="00CA1039" w:rsidP="00CA1039">
      <w:pPr>
        <w:jc w:val="center"/>
        <w:rPr>
          <w:sz w:val="28"/>
          <w:u w:val="single"/>
        </w:rPr>
      </w:pPr>
    </w:p>
    <w:p w:rsidR="00CA1039" w:rsidRDefault="00CA1039" w:rsidP="00CA1039">
      <w:pPr>
        <w:rPr>
          <w:sz w:val="28"/>
        </w:rPr>
      </w:pPr>
      <w:r>
        <w:rPr>
          <w:sz w:val="28"/>
        </w:rPr>
        <w:t>I – Problématique et introduction</w:t>
      </w:r>
    </w:p>
    <w:p w:rsidR="008F2DA7" w:rsidRDefault="008F2DA7" w:rsidP="00CA1039">
      <w:pPr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3C72228A" wp14:editId="01A3D217">
            <wp:extent cx="5760720" cy="2042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jet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39" w:rsidRDefault="00CA1039" w:rsidP="00CA1039">
      <w:pPr>
        <w:rPr>
          <w:sz w:val="28"/>
        </w:rPr>
      </w:pPr>
      <w:r>
        <w:rPr>
          <w:sz w:val="28"/>
        </w:rPr>
        <w:t>II – Démarche de résolution</w:t>
      </w:r>
    </w:p>
    <w:p w:rsidR="00CA1039" w:rsidRPr="00CA1039" w:rsidRDefault="00CA1039" w:rsidP="00CA1039">
      <w:r w:rsidRPr="00CA1039">
        <w:t>Il s’agit d’un processus de synthèse de correcteur classique ou l’on peut simuler numériquement le procédé. On utilise pour cela Simulink.</w:t>
      </w:r>
      <w:r>
        <w:t xml:space="preserve"> </w:t>
      </w:r>
    </w:p>
    <w:p w:rsidR="00CA1039" w:rsidRDefault="00CA1039" w:rsidP="00CA1039">
      <w:pPr>
        <w:rPr>
          <w:sz w:val="28"/>
        </w:rPr>
      </w:pPr>
      <w:r>
        <w:rPr>
          <w:sz w:val="28"/>
        </w:rPr>
        <w:t>III – Essai en BO/BF</w:t>
      </w:r>
    </w:p>
    <w:p w:rsidR="00CA1039" w:rsidRDefault="00CA1039" w:rsidP="00CA1039">
      <w:r>
        <w:t>On réalise un essai en BO : Ca diverge (intégrateur) puis en BF avec un correcteur proportionnel</w:t>
      </w:r>
    </w:p>
    <w:p w:rsidR="00B92702" w:rsidRPr="00CA1039" w:rsidRDefault="00B92702" w:rsidP="00CA1039">
      <w:r>
        <w:t xml:space="preserve">On </w:t>
      </w:r>
      <w:r w:rsidR="00830503">
        <w:t xml:space="preserve">prend </w:t>
      </w:r>
      <w:proofErr w:type="spellStart"/>
      <w:r w:rsidR="00830503">
        <w:t>Kp</w:t>
      </w:r>
      <w:proofErr w:type="spellEnd"/>
      <w:r w:rsidR="00830503">
        <w:t>=1/150</w:t>
      </w:r>
      <w:r>
        <w:t>0 pour avoir un comportement marginalement stable</w:t>
      </w:r>
    </w:p>
    <w:p w:rsidR="00CA1039" w:rsidRDefault="00CA1039" w:rsidP="00CA1039">
      <w:pPr>
        <w:rPr>
          <w:sz w:val="28"/>
        </w:rPr>
      </w:pPr>
      <w:r>
        <w:rPr>
          <w:sz w:val="28"/>
        </w:rPr>
        <w:t>IV – Correcteur empirique</w:t>
      </w:r>
    </w:p>
    <w:p w:rsidR="00830503" w:rsidRDefault="00830503" w:rsidP="00CA1039">
      <w:r>
        <w:t>On a Pu = 500s, Ku = 1/1500, on utilise le poly pour réaliser un correcteur PID.</w:t>
      </w:r>
    </w:p>
    <w:p w:rsidR="00830503" w:rsidRDefault="00830503" w:rsidP="00CA1039">
      <w:r>
        <w:t>On prend k=</w:t>
      </w:r>
      <w:proofErr w:type="gramStart"/>
      <w:r>
        <w:t>0,33Ku ,</w:t>
      </w:r>
      <w:proofErr w:type="gramEnd"/>
      <w:r>
        <w:t xml:space="preserve"> Ti = Pu/2 , Td = Pu/3 et on filtre pour rendre causal avec N=1/(10Ti)</w:t>
      </w:r>
    </w:p>
    <w:p w:rsidR="008F2DA7" w:rsidRPr="00830503" w:rsidRDefault="008F2DA7" w:rsidP="00CA1039">
      <w:r>
        <w:t>Résultat : Ça ne marche pas du tout, on va changer de méthode</w:t>
      </w:r>
    </w:p>
    <w:p w:rsidR="00CA1039" w:rsidRDefault="00CA1039" w:rsidP="00CA1039">
      <w:pPr>
        <w:rPr>
          <w:sz w:val="28"/>
        </w:rPr>
      </w:pPr>
      <w:r>
        <w:rPr>
          <w:sz w:val="28"/>
        </w:rPr>
        <w:t>V – Modélisation</w:t>
      </w:r>
    </w:p>
    <w:p w:rsidR="008F2DA7" w:rsidRDefault="008F2DA7" w:rsidP="00CA1039">
      <w:r>
        <w:t>On a les équations, donc on peut facilement modéliser le procédé :</w:t>
      </w:r>
    </w:p>
    <w:p w:rsidR="008F2DA7" w:rsidRDefault="008F2DA7" w:rsidP="008F2DA7">
      <w:pPr>
        <w:rPr>
          <w:rFonts w:eastAsiaTheme="minorEastAsia"/>
          <w:sz w:val="32"/>
          <w:szCs w:val="32"/>
        </w:rPr>
      </w:pPr>
      <w:r>
        <w:t xml:space="preserve">On obtient :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orderBox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P(s) =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bar>
                  <m:bar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Y(s)</m:t>
                    </m:r>
                  </m:e>
                </m:bar>
              </m:num>
              <m:den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U(s)</m:t>
                    </m:r>
                  </m:e>
                </m:ba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=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*t2+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borderBox>
      </m:oMath>
    </w:p>
    <w:p w:rsidR="008F2DA7" w:rsidRDefault="008F2DA7" w:rsidP="008F2DA7">
      <w:pPr>
        <w:rPr>
          <w:szCs w:val="28"/>
        </w:rPr>
      </w:pPr>
      <w:r>
        <w:rPr>
          <w:szCs w:val="28"/>
        </w:rPr>
        <w:t xml:space="preserve">On construit ensuite un modèle de référence pour notre système. C’est un modèle en BF (parce que c’est ce qui nous intéresse). </w:t>
      </w:r>
    </w:p>
    <w:p w:rsidR="008F2DA7" w:rsidRPr="008F2DA7" w:rsidRDefault="008F2DA7" w:rsidP="008F2DA7">
      <w:pPr>
        <w:rPr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F31ADEF" wp14:editId="2FEA99EB">
            <wp:extent cx="5760720" cy="2656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A7" w:rsidRPr="008F2DA7" w:rsidRDefault="008F2DA7" w:rsidP="00CA1039"/>
    <w:p w:rsidR="008F2DA7" w:rsidRDefault="008F2DA7" w:rsidP="00CA1039">
      <w:pPr>
        <w:rPr>
          <w:sz w:val="28"/>
        </w:rPr>
      </w:pPr>
    </w:p>
    <w:p w:rsidR="00CA1039" w:rsidRDefault="00CA1039" w:rsidP="00CA1039">
      <w:pPr>
        <w:rPr>
          <w:sz w:val="28"/>
        </w:rPr>
      </w:pPr>
      <w:r>
        <w:rPr>
          <w:sz w:val="28"/>
        </w:rPr>
        <w:t>VI – Placement de pôles</w:t>
      </w:r>
    </w:p>
    <w:p w:rsidR="001E15B1" w:rsidRPr="001E15B1" w:rsidRDefault="001E15B1" w:rsidP="00CA1039">
      <w:r w:rsidRPr="001E15B1">
        <w:t xml:space="preserve">On utilise </w:t>
      </w:r>
      <w:proofErr w:type="spellStart"/>
      <w:proofErr w:type="gramStart"/>
      <w:r w:rsidRPr="001E15B1">
        <w:t>sisotool</w:t>
      </w:r>
      <w:proofErr w:type="spellEnd"/>
      <w:r w:rsidRPr="001E15B1">
        <w:t>(</w:t>
      </w:r>
      <w:proofErr w:type="gramEnd"/>
      <w:r w:rsidRPr="001E15B1">
        <w:t xml:space="preserve">) sous </w:t>
      </w:r>
      <w:proofErr w:type="spellStart"/>
      <w:r w:rsidRPr="001E15B1">
        <w:t>matlab</w:t>
      </w:r>
      <w:proofErr w:type="spellEnd"/>
      <w:r w:rsidRPr="001E15B1">
        <w:t xml:space="preserve"> pour tracer le lieu </w:t>
      </w:r>
      <w:proofErr w:type="spellStart"/>
      <w:r w:rsidRPr="001E15B1">
        <w:t>d’evans</w:t>
      </w:r>
      <w:proofErr w:type="spellEnd"/>
      <w:r w:rsidRPr="001E15B1">
        <w:t xml:space="preserve"> de notre procédé. On rajoute alors un zéro pour éliminer le pole en -0,004, puis un nouveau zéro pour celui en -0,04. Il reste alors à placer un pôle en 2*(-0,0154)=-0,0308 pour obtenir un système répondant au cahier des charges. Cependant le correcteur ainsi créé est </w:t>
      </w:r>
      <w:proofErr w:type="spellStart"/>
      <w:r w:rsidRPr="001E15B1">
        <w:t>accausal</w:t>
      </w:r>
      <w:proofErr w:type="spellEnd"/>
      <w:r w:rsidRPr="001E15B1">
        <w:t xml:space="preserve">, on rajoute donc un pôle négligeable pour le rendre réalisable sans modifier (trop) le lieu </w:t>
      </w:r>
      <w:proofErr w:type="spellStart"/>
      <w:r w:rsidRPr="001E15B1">
        <w:t>d’evans</w:t>
      </w:r>
      <w:proofErr w:type="spellEnd"/>
      <w:r w:rsidRPr="001E15B1">
        <w:t>.</w:t>
      </w:r>
    </w:p>
    <w:p w:rsidR="001E15B1" w:rsidRDefault="001E15B1" w:rsidP="00CA1039">
      <w:r w:rsidRPr="001E15B1">
        <w:t xml:space="preserve">On récupère le correcteur ainsi effectué et on l’implémente sous </w:t>
      </w:r>
      <w:proofErr w:type="spellStart"/>
      <w:r w:rsidRPr="001E15B1">
        <w:t>simulink</w:t>
      </w:r>
      <w:proofErr w:type="spellEnd"/>
      <w:r w:rsidRPr="001E15B1">
        <w:t>, pour vérifier ses performances vis-à-vis du cahier des charges</w:t>
      </w:r>
    </w:p>
    <w:p w:rsidR="001E15B1" w:rsidRDefault="002E013D" w:rsidP="00CA1039">
      <w:r>
        <w:t xml:space="preserve">Les critères de rapidité et de précision sont respectés, mais pas celui du dépassement. Le comportement vis-à-vis d’une perturbation en échelon n’est pas satisfaisant au regard du </w:t>
      </w:r>
      <w:proofErr w:type="spellStart"/>
      <w:r>
        <w:t>Cdc</w:t>
      </w:r>
      <w:proofErr w:type="spellEnd"/>
      <w:r>
        <w:t>.</w:t>
      </w:r>
    </w:p>
    <w:p w:rsidR="00C15BDE" w:rsidRPr="001E15B1" w:rsidRDefault="00C15BDE" w:rsidP="00CA1039"/>
    <w:p w:rsidR="00CA1039" w:rsidRDefault="00CA1039" w:rsidP="00CA1039">
      <w:pPr>
        <w:rPr>
          <w:sz w:val="28"/>
        </w:rPr>
      </w:pPr>
      <w:r>
        <w:rPr>
          <w:sz w:val="28"/>
        </w:rPr>
        <w:t>VII – Analyse fréquentielle</w:t>
      </w:r>
    </w:p>
    <w:p w:rsidR="00065A1F" w:rsidRDefault="00065A1F" w:rsidP="00CA1039">
      <w:r>
        <w:t>On utilise maintenant la méthode fréquentielle décrite dans le poly.</w:t>
      </w:r>
    </w:p>
    <w:p w:rsidR="00065A1F" w:rsidRDefault="00065A1F" w:rsidP="00CA1039">
      <w:r>
        <w:t xml:space="preserve">On commence par relever la marge de phase et la pulsation de coupure de </w:t>
      </w:r>
      <w:proofErr w:type="spellStart"/>
      <w:r>
        <w:t>Pref</w:t>
      </w:r>
      <w:proofErr w:type="spellEnd"/>
      <w:r>
        <w:t xml:space="preserve"> (en BO). On obtient phi= 180 + 58,6° et w=0,0188rad/s</w:t>
      </w:r>
    </w:p>
    <w:p w:rsidR="00065A1F" w:rsidRDefault="00065A1F" w:rsidP="00CA1039">
      <w:r>
        <w:t xml:space="preserve">On pose alors a=w/10 et </w:t>
      </w:r>
      <w:proofErr w:type="spellStart"/>
      <w:r>
        <w:t>Kpi</w:t>
      </w:r>
      <w:proofErr w:type="spellEnd"/>
      <w:r>
        <w:t>=(</w:t>
      </w:r>
      <w:proofErr w:type="spellStart"/>
      <w:r>
        <w:t>s+a</w:t>
      </w:r>
      <w:proofErr w:type="spellEnd"/>
      <w:r>
        <w:t>)/s puis on règle k=0,00</w:t>
      </w:r>
      <w:r w:rsidR="00A8208C">
        <w:t>132</w:t>
      </w:r>
      <w:r>
        <w:t xml:space="preserve"> et on </w:t>
      </w:r>
      <w:proofErr w:type="spellStart"/>
      <w:r>
        <w:t>releve</w:t>
      </w:r>
      <w:proofErr w:type="spellEnd"/>
      <w:r>
        <w:t xml:space="preserve"> phi2=-99,5°</w:t>
      </w:r>
    </w:p>
    <w:p w:rsidR="00C1176A" w:rsidRDefault="00C1176A" w:rsidP="00CA1039">
      <w:r>
        <w:t xml:space="preserve">On règle alors </w:t>
      </w:r>
      <w:proofErr w:type="spellStart"/>
      <w:r>
        <w:t>Kpa</w:t>
      </w:r>
      <w:proofErr w:type="spellEnd"/>
      <w:r w:rsidR="006062EC">
        <w:t xml:space="preserve"> puis on l’</w:t>
      </w:r>
      <w:proofErr w:type="spellStart"/>
      <w:r w:rsidR="006062EC">
        <w:t>implemente</w:t>
      </w:r>
      <w:proofErr w:type="spellEnd"/>
    </w:p>
    <w:p w:rsidR="006062EC" w:rsidRPr="00065A1F" w:rsidRDefault="006062EC" w:rsidP="00CA1039">
      <w:r>
        <w:t>VII - FF</w:t>
      </w:r>
      <w:bookmarkStart w:id="0" w:name="_GoBack"/>
      <w:bookmarkEnd w:id="0"/>
    </w:p>
    <w:p w:rsidR="00065A1F" w:rsidRPr="00CA1039" w:rsidRDefault="00065A1F" w:rsidP="00CA1039">
      <w:pPr>
        <w:rPr>
          <w:sz w:val="28"/>
        </w:rPr>
      </w:pPr>
    </w:p>
    <w:sectPr w:rsidR="00065A1F" w:rsidRPr="00CA1039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39"/>
    <w:rsid w:val="00065A1F"/>
    <w:rsid w:val="001E15B1"/>
    <w:rsid w:val="002E013D"/>
    <w:rsid w:val="00362B3D"/>
    <w:rsid w:val="005643D9"/>
    <w:rsid w:val="006062EC"/>
    <w:rsid w:val="00830503"/>
    <w:rsid w:val="008F2DA7"/>
    <w:rsid w:val="00953C09"/>
    <w:rsid w:val="00A8208C"/>
    <w:rsid w:val="00B92702"/>
    <w:rsid w:val="00C1176A"/>
    <w:rsid w:val="00C15BDE"/>
    <w:rsid w:val="00C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76B75-A112-417A-B050-36FB3008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6</cp:revision>
  <dcterms:created xsi:type="dcterms:W3CDTF">2018-06-20T05:16:00Z</dcterms:created>
  <dcterms:modified xsi:type="dcterms:W3CDTF">2018-06-21T05:36:00Z</dcterms:modified>
</cp:coreProperties>
</file>