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87D" w:rsidRDefault="00AA387D">
      <w:r>
        <w:t xml:space="preserve">On cherche à étudier le rendement du moteur thermique. Celui-ci est un système physique dont le fonctionnement est déterminé par de nombreux paramètres. Afin de pouvoir étudier leur impact de manière isolée, il faut réaliser des expérimentations permettant de découpler leurs effets. </w:t>
      </w:r>
    </w:p>
    <w:p w:rsidR="00AA387D" w:rsidRDefault="00AA387D">
      <w:r>
        <w:t>Les moteurs thermiques du monde extérieur possèdent un grand nombre de réglages et d’optimisations, mais le système étudié dans le cadre de ce TP ne permet l’ajustement que de certains. Par la suite, on s’intéressera donc aux paramètres suivants :</w:t>
      </w:r>
    </w:p>
    <w:p w:rsidR="00AA387D" w:rsidRDefault="00AA387D" w:rsidP="00AA387D">
      <w:pPr>
        <w:pStyle w:val="Paragraphedeliste"/>
        <w:numPr>
          <w:ilvl w:val="0"/>
          <w:numId w:val="1"/>
        </w:numPr>
      </w:pPr>
      <w:r>
        <w:t>Vitesse de rotation (en RPM)</w:t>
      </w:r>
    </w:p>
    <w:p w:rsidR="00AA387D" w:rsidRDefault="00AA387D" w:rsidP="00AA387D">
      <w:pPr>
        <w:pStyle w:val="Paragraphedeliste"/>
        <w:numPr>
          <w:ilvl w:val="0"/>
          <w:numId w:val="1"/>
        </w:numPr>
      </w:pPr>
      <w:r>
        <w:t>Couple (en N.m</w:t>
      </w:r>
    </w:p>
    <w:p w:rsidR="00AA387D" w:rsidRDefault="00AA387D" w:rsidP="00AA387D">
      <w:pPr>
        <w:pStyle w:val="Paragraphedeliste"/>
        <w:numPr>
          <w:ilvl w:val="0"/>
          <w:numId w:val="1"/>
        </w:numPr>
      </w:pPr>
      <w:r>
        <w:t>Consigne (ouverture du papillon des gaz en %)</w:t>
      </w:r>
    </w:p>
    <w:p w:rsidR="00AA387D" w:rsidRDefault="00AA387D" w:rsidP="00AA387D">
      <w:pPr>
        <w:pStyle w:val="Paragraphedeliste"/>
        <w:numPr>
          <w:ilvl w:val="0"/>
          <w:numId w:val="1"/>
        </w:numPr>
      </w:pPr>
      <w:r>
        <w:t xml:space="preserve">Richesse </w:t>
      </w:r>
    </w:p>
    <w:p w:rsidR="00AA387D" w:rsidRDefault="00AA387D" w:rsidP="00AA387D">
      <w:pPr>
        <w:pStyle w:val="Paragraphedeliste"/>
        <w:numPr>
          <w:ilvl w:val="0"/>
          <w:numId w:val="1"/>
        </w:numPr>
      </w:pPr>
      <w:r>
        <w:t>Avance à l’allumage (en degrès)</w:t>
      </w:r>
    </w:p>
    <w:p w:rsidR="00930894" w:rsidRDefault="00AA387D">
      <w:r>
        <w:t xml:space="preserve">On réalise tout d’abord l’acquisition des données de rendement en fonction du point de fonctionnement (RPM, Couple) du moteur. </w:t>
      </w:r>
    </w:p>
    <w:p w:rsidR="00D93AC7" w:rsidRDefault="00D93AC7"/>
    <w:p w:rsidR="00CD6A85" w:rsidRDefault="00CD6A85">
      <w:r>
        <w:rPr>
          <w:noProof/>
          <w:lang w:eastAsia="fr-FR"/>
        </w:rPr>
        <w:drawing>
          <wp:inline distT="0" distB="0" distL="0" distR="0" wp14:anchorId="6A54D0DE" wp14:editId="6F32AC8A">
            <wp:extent cx="5760720" cy="3288665"/>
            <wp:effectExtent l="0" t="0" r="11430" b="698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93AC7" w:rsidRDefault="00D93AC7"/>
    <w:p w:rsidR="00D93AC7" w:rsidRDefault="00D93AC7">
      <w:r>
        <w:t xml:space="preserve">On note que le rendement varie du simple au double (entre 15% et 35%) en fonction du point de fonctionnement sollicité (tout en restant inférieur au cycle théorique Bau de Rochas). On observe en outre que le moteur est le plus efficace à moyen régime et aux moyennes charges, la richesse étant constante sur toute la MAP. On peut alors se placer sur le meilleur emplacement (du point de vue du rendement) pour relever les valeurs efficacité spécifique du moteur thermique. </w:t>
      </w:r>
    </w:p>
    <w:p w:rsidR="00D93AC7" w:rsidRDefault="00D93AC7"/>
    <w:p w:rsidR="00D93AC7" w:rsidRDefault="00D93AC7">
      <w:r>
        <w:t>On s’intéresse alors à l’influence de la richesse sur le rendement, étant fixé le régime, la charge et l’avance à l’allumage.</w:t>
      </w:r>
    </w:p>
    <w:p w:rsidR="00D93AC7" w:rsidRDefault="00CD6A85">
      <w:r>
        <w:rPr>
          <w:noProof/>
          <w:lang w:eastAsia="fr-FR"/>
        </w:rPr>
        <w:lastRenderedPageBreak/>
        <w:drawing>
          <wp:inline distT="0" distB="0" distL="0" distR="0" wp14:anchorId="6E7EAC3A" wp14:editId="7B2B17AE">
            <wp:extent cx="5760720" cy="2742565"/>
            <wp:effectExtent l="0" t="0" r="11430" b="63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93AC7" w:rsidRDefault="00D93AC7">
      <w:r>
        <w:t>On atteint un optimum pour une valeur de richesse de 0,90, c’est-à-dire un mélange lég</w:t>
      </w:r>
      <w:r w:rsidR="00CD6A85">
        <w:t>èrement pauvre. On observe également, que</w:t>
      </w:r>
      <w:r>
        <w:t xml:space="preserve">, a contrario, le pic de puissance du moteur se situe de l’autre </w:t>
      </w:r>
      <w:r w:rsidR="00CD6A85">
        <w:t>côté</w:t>
      </w:r>
      <w:r>
        <w:t xml:space="preserve"> du point de richesse </w:t>
      </w:r>
      <w:r w:rsidR="00CD6A85">
        <w:t>stœchiométrique (richesse = 1,1).</w:t>
      </w:r>
    </w:p>
    <w:p w:rsidR="004C3150" w:rsidRDefault="004C3150">
      <w:r>
        <w:t>L’avance à l’allumage est également un paramètre qui influe sur le rendement. En effet, dans la réalité, l’hypothèse que le front de flamme est instantané est fausse. Il faut donc tenir compte de cette propagation en allumant le mélange air carburant en avance (avant que le piston atteigne le point mort haut) pour maximiser le transfert d’énergie. Il est difficile d’obtenir des variations de rendements significatives avec ce paramètre sans faire caler le moteur, ou le soumettre un phénomène de cliquetis (auto-allumage dans le cylindre, générant des surpressions et des vibrations destructrices pour le moteur). Ainsi, on choisit d’</w:t>
      </w:r>
      <w:proofErr w:type="spellStart"/>
      <w:r>
        <w:t>etudier</w:t>
      </w:r>
      <w:proofErr w:type="spellEnd"/>
      <w:r>
        <w:t xml:space="preserve"> les courbes du diagramme beau de rochas et de les comparer aux théoriques</w:t>
      </w:r>
    </w:p>
    <w:p w:rsidR="004C3150" w:rsidRDefault="004C3150">
      <w:r>
        <w:rPr>
          <w:noProof/>
          <w:lang w:eastAsia="fr-FR"/>
        </w:rPr>
        <w:drawing>
          <wp:inline distT="0" distB="0" distL="0" distR="0">
            <wp:extent cx="2447925" cy="2133600"/>
            <wp:effectExtent l="0" t="0" r="9525" b="0"/>
            <wp:docPr id="3" name="Image 3" descr="http://www.sciences.univ-nantes.fr/sites/claude_saintblanquet/synophys/44machi/Image3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iences.univ-nantes.fr/sites/claude_saintblanquet/synophys/44machi/Image314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2133600"/>
                    </a:xfrm>
                    <a:prstGeom prst="rect">
                      <a:avLst/>
                    </a:prstGeom>
                    <a:noFill/>
                    <a:ln>
                      <a:noFill/>
                    </a:ln>
                  </pic:spPr>
                </pic:pic>
              </a:graphicData>
            </a:graphic>
          </wp:inline>
        </w:drawing>
      </w:r>
    </w:p>
    <w:p w:rsidR="004C3150" w:rsidRDefault="004C3150">
      <w:r>
        <w:t>Cycle théorique</w:t>
      </w:r>
    </w:p>
    <w:p w:rsidR="004C3150" w:rsidRDefault="004C3150">
      <w:r w:rsidRPr="004C3150">
        <w:rPr>
          <w:noProof/>
          <w:lang w:eastAsia="fr-FR"/>
        </w:rPr>
        <w:lastRenderedPageBreak/>
        <w:drawing>
          <wp:inline distT="0" distB="0" distL="0" distR="0">
            <wp:extent cx="4750594" cy="3800475"/>
            <wp:effectExtent l="0" t="0" r="0" b="0"/>
            <wp:docPr id="4" name="Image 4" descr="C:\Users\telep\Desktop\TPMOteurThermique\C1b7aquisittionslentes\proche du th 10_113_2k5_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lep\Desktop\TPMOteurThermique\C1b7aquisittionslentes\proche du th 10_113_2k5_100.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1615" cy="3801292"/>
                    </a:xfrm>
                    <a:prstGeom prst="rect">
                      <a:avLst/>
                    </a:prstGeom>
                    <a:noFill/>
                    <a:ln>
                      <a:noFill/>
                    </a:ln>
                  </pic:spPr>
                </pic:pic>
              </a:graphicData>
            </a:graphic>
          </wp:inline>
        </w:drawing>
      </w:r>
      <w:r>
        <w:t xml:space="preserve"> </w:t>
      </w:r>
    </w:p>
    <w:p w:rsidR="00F35FFF" w:rsidRDefault="00F35FFF">
      <w:r>
        <w:t>Cycle en fonctionnement normal sur le moteur du TP</w:t>
      </w:r>
    </w:p>
    <w:p w:rsidR="00F35FFF" w:rsidRDefault="00F35FFF">
      <w:r>
        <w:rPr>
          <w:noProof/>
          <w:lang w:eastAsia="fr-FR"/>
        </w:rPr>
        <w:drawing>
          <wp:inline distT="0" distB="0" distL="0" distR="0">
            <wp:extent cx="4883584" cy="3905250"/>
            <wp:effectExtent l="0" t="0" r="0" b="0"/>
            <wp:docPr id="5" name="Image 5" descr="C:\Users\telep\AppData\Local\Microsoft\Windows\INetCache\Content.Word\cliquetis -20_100_3k7_1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lep\AppData\Local\Microsoft\Windows\INetCache\Content.Word\cliquetis -20_100_3k7_100.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6161" cy="3907311"/>
                    </a:xfrm>
                    <a:prstGeom prst="rect">
                      <a:avLst/>
                    </a:prstGeom>
                    <a:noFill/>
                    <a:ln>
                      <a:noFill/>
                    </a:ln>
                  </pic:spPr>
                </pic:pic>
              </a:graphicData>
            </a:graphic>
          </wp:inline>
        </w:drawing>
      </w:r>
    </w:p>
    <w:p w:rsidR="00F35FFF" w:rsidRDefault="00F35FFF">
      <w:r>
        <w:t>Cycle avec du cliquetis</w:t>
      </w:r>
    </w:p>
    <w:p w:rsidR="00F35FFF" w:rsidRDefault="00F35FFF">
      <w:r>
        <w:t>On peut également comparer les diagrammes de pression cylindre en temps normal (premier graphe) et en cas de cliquetis (second graphe)</w:t>
      </w:r>
    </w:p>
    <w:p w:rsidR="00F35FFF" w:rsidRDefault="00F35FF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324.75pt">
            <v:imagedata r:id="rId10" o:title="Pcylnorm"/>
          </v:shape>
        </w:pict>
      </w:r>
    </w:p>
    <w:p w:rsidR="00F35FFF" w:rsidRDefault="00F35FFF">
      <w:r>
        <w:pict>
          <v:shape id="_x0000_i1026" type="#_x0000_t75" style="width:407.25pt;height:325.5pt">
            <v:imagedata r:id="rId11" o:title="Pcylhav"/>
          </v:shape>
        </w:pict>
      </w:r>
    </w:p>
    <w:p w:rsidR="00F35FFF" w:rsidRDefault="00F35FFF"/>
    <w:p w:rsidR="00F35FFF" w:rsidRDefault="00F35FFF">
      <w:r>
        <w:lastRenderedPageBreak/>
        <w:t>On obtient également les valeurs d’efficacité spécifiques suivantes : (POUR VINCENT)</w:t>
      </w:r>
    </w:p>
    <w:tbl>
      <w:tblPr>
        <w:tblW w:w="2790" w:type="dxa"/>
        <w:tblCellMar>
          <w:left w:w="70" w:type="dxa"/>
          <w:right w:w="70" w:type="dxa"/>
        </w:tblCellMar>
        <w:tblLook w:val="04A0" w:firstRow="1" w:lastRow="0" w:firstColumn="1" w:lastColumn="0" w:noHBand="0" w:noVBand="1"/>
      </w:tblPr>
      <w:tblGrid>
        <w:gridCol w:w="1280"/>
        <w:gridCol w:w="1620"/>
      </w:tblGrid>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rPr>
                <w:rFonts w:ascii="Arial" w:eastAsia="Times New Roman" w:hAnsi="Arial" w:cs="Arial"/>
                <w:color w:val="000000"/>
                <w:lang w:eastAsia="fr-FR"/>
              </w:rPr>
            </w:pPr>
            <w:r w:rsidRPr="00F35FFF">
              <w:rPr>
                <w:rFonts w:ascii="Arial" w:eastAsia="Times New Roman" w:hAnsi="Arial" w:cs="Arial"/>
                <w:color w:val="000000"/>
                <w:lang w:eastAsia="fr-FR"/>
              </w:rPr>
              <w:t>RPM</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rPr>
                <w:rFonts w:ascii="Arial" w:eastAsia="Times New Roman" w:hAnsi="Arial" w:cs="Arial"/>
                <w:color w:val="000000"/>
                <w:lang w:eastAsia="fr-FR"/>
              </w:rPr>
            </w:pPr>
            <w:r w:rsidRPr="00F35FFF">
              <w:rPr>
                <w:rFonts w:ascii="Arial" w:eastAsia="Times New Roman" w:hAnsi="Arial" w:cs="Arial"/>
                <w:color w:val="000000"/>
                <w:lang w:eastAsia="fr-FR"/>
              </w:rPr>
              <w:t>Consommation spécifique massique</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rPr>
                <w:rFonts w:ascii="Arial" w:eastAsia="Times New Roman" w:hAnsi="Arial" w:cs="Arial"/>
                <w:color w:val="000000"/>
                <w:lang w:eastAsia="fr-FR"/>
              </w:rPr>
            </w:pPr>
            <w:r w:rsidRPr="00F35FFF">
              <w:rPr>
                <w:rFonts w:ascii="Arial" w:eastAsia="Times New Roman" w:hAnsi="Arial" w:cs="Arial"/>
                <w:color w:val="000000"/>
                <w:lang w:eastAsia="fr-FR"/>
              </w:rPr>
              <w:t>tr/min</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rPr>
                <w:rFonts w:ascii="Arial" w:eastAsia="Times New Roman" w:hAnsi="Arial" w:cs="Arial"/>
                <w:color w:val="000000"/>
                <w:lang w:eastAsia="fr-FR"/>
              </w:rPr>
            </w:pPr>
            <w:r w:rsidRPr="00F35FFF">
              <w:rPr>
                <w:rFonts w:ascii="Arial" w:eastAsia="Times New Roman" w:hAnsi="Arial" w:cs="Arial"/>
                <w:color w:val="000000"/>
                <w:lang w:eastAsia="fr-FR"/>
              </w:rPr>
              <w:t>g/</w:t>
            </w:r>
            <w:proofErr w:type="spellStart"/>
            <w:r w:rsidRPr="00F35FFF">
              <w:rPr>
                <w:rFonts w:ascii="Arial" w:eastAsia="Times New Roman" w:hAnsi="Arial" w:cs="Arial"/>
                <w:color w:val="000000"/>
                <w:lang w:eastAsia="fr-FR"/>
              </w:rPr>
              <w:t>kW.h</w:t>
            </w:r>
            <w:proofErr w:type="spellEnd"/>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1498</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294</w:t>
            </w:r>
          </w:p>
        </w:tc>
        <w:bookmarkStart w:id="0" w:name="_GoBack"/>
        <w:bookmarkEnd w:id="0"/>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1699</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282,4</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1900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284,6</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2100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290,5</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2300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291,2</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2500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295,5</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2700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304,4</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2900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317,2</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3100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334,2</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3300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356,5</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3500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378,6</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3701</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393,8</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3900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411,1</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4100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457,5</w:t>
            </w:r>
          </w:p>
        </w:tc>
      </w:tr>
      <w:tr w:rsidR="00F35FFF" w:rsidRPr="00F35FFF" w:rsidTr="00F35FFF">
        <w:trPr>
          <w:trHeight w:val="285"/>
        </w:trPr>
        <w:tc>
          <w:tcPr>
            <w:tcW w:w="128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4200</w:t>
            </w:r>
          </w:p>
        </w:tc>
        <w:tc>
          <w:tcPr>
            <w:tcW w:w="1510" w:type="dxa"/>
            <w:tcBorders>
              <w:top w:val="nil"/>
              <w:left w:val="nil"/>
              <w:bottom w:val="nil"/>
              <w:right w:val="nil"/>
            </w:tcBorders>
            <w:shd w:val="clear" w:color="auto" w:fill="auto"/>
            <w:noWrap/>
            <w:vAlign w:val="bottom"/>
            <w:hideMark/>
          </w:tcPr>
          <w:p w:rsidR="00F35FFF" w:rsidRPr="00F35FFF" w:rsidRDefault="00F35FFF" w:rsidP="00F35FFF">
            <w:pPr>
              <w:spacing w:after="0" w:line="240" w:lineRule="auto"/>
              <w:jc w:val="right"/>
              <w:rPr>
                <w:rFonts w:ascii="Arial" w:eastAsia="Times New Roman" w:hAnsi="Arial" w:cs="Arial"/>
                <w:color w:val="000000"/>
                <w:lang w:eastAsia="fr-FR"/>
              </w:rPr>
            </w:pPr>
            <w:r w:rsidRPr="00F35FFF">
              <w:rPr>
                <w:rFonts w:ascii="Arial" w:eastAsia="Times New Roman" w:hAnsi="Arial" w:cs="Arial"/>
                <w:color w:val="000000"/>
                <w:lang w:eastAsia="fr-FR"/>
              </w:rPr>
              <w:t>467,4</w:t>
            </w:r>
          </w:p>
        </w:tc>
      </w:tr>
    </w:tbl>
    <w:p w:rsidR="00F35FFF" w:rsidRDefault="00F35FFF"/>
    <w:sectPr w:rsidR="00F35F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D6660"/>
    <w:multiLevelType w:val="hybridMultilevel"/>
    <w:tmpl w:val="12D619EA"/>
    <w:lvl w:ilvl="0" w:tplc="9524FC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87D"/>
    <w:rsid w:val="004C3150"/>
    <w:rsid w:val="00930894"/>
    <w:rsid w:val="00AA387D"/>
    <w:rsid w:val="00CD6A85"/>
    <w:rsid w:val="00D93AC7"/>
    <w:rsid w:val="00F35F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4D9BC-77CD-4E01-AA99-C7A2713D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8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53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elep\Documents\ECL\Ecole%20Centrale%20de%20Lyon\1A\UEs\FLE\tc3\richesse1avance5.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Rendement vs Regime/Consigne</a:t>
            </a:r>
          </a:p>
        </c:rich>
      </c:tx>
      <c:overlay val="0"/>
      <c:spPr>
        <a:noFill/>
        <a:ln>
          <a:noFill/>
        </a:ln>
        <a:effectLst/>
      </c:spPr>
    </c:title>
    <c:autoTitleDeleted val="0"/>
    <c:view3D>
      <c:rotX val="25"/>
      <c:rotY val="30"/>
      <c:rAngAx val="0"/>
      <c:perspective val="0"/>
    </c:view3D>
    <c:floor>
      <c:thickness val="0"/>
      <c:spPr>
        <a:noFill/>
        <a:ln>
          <a:solidFill>
            <a:schemeClr val="tx1"/>
          </a:solidFill>
        </a:ln>
        <a:effectLst/>
        <a:sp3d>
          <a:contourClr>
            <a:schemeClr val="tx1"/>
          </a:contourClr>
        </a:sp3d>
      </c:spPr>
    </c:floor>
    <c:sideWall>
      <c:thickness val="0"/>
      <c:spPr>
        <a:noFill/>
        <a:ln>
          <a:solidFill>
            <a:schemeClr val="tx1">
              <a:lumMod val="95000"/>
              <a:lumOff val="5000"/>
            </a:schemeClr>
          </a:solidFill>
        </a:ln>
        <a:effectLst/>
        <a:sp3d>
          <a:contourClr>
            <a:schemeClr val="tx1">
              <a:lumMod val="95000"/>
              <a:lumOff val="5000"/>
            </a:schemeClr>
          </a:contourClr>
        </a:sp3d>
      </c:spPr>
    </c:sideWall>
    <c:backWall>
      <c:thickness val="0"/>
      <c:spPr>
        <a:noFill/>
        <a:ln>
          <a:solidFill>
            <a:schemeClr val="tx1">
              <a:lumMod val="95000"/>
              <a:lumOff val="5000"/>
            </a:schemeClr>
          </a:solidFill>
        </a:ln>
        <a:effectLst/>
        <a:sp3d>
          <a:contourClr>
            <a:schemeClr val="tx1">
              <a:lumMod val="95000"/>
              <a:lumOff val="5000"/>
            </a:schemeClr>
          </a:contourClr>
        </a:sp3d>
      </c:spPr>
    </c:backWall>
    <c:plotArea>
      <c:layout/>
      <c:surface3DChart>
        <c:wireframe val="1"/>
        <c:ser>
          <c:idx val="0"/>
          <c:order val="0"/>
          <c:tx>
            <c:strRef>
              <c:f>'alpha pap'!$B$22</c:f>
              <c:strCache>
                <c:ptCount val="1"/>
                <c:pt idx="0">
                  <c:v>30</c:v>
                </c:pt>
              </c:strCache>
            </c:strRef>
          </c:tx>
          <c:spPr>
            <a:ln w="9525" cap="rnd">
              <a:solidFill>
                <a:schemeClr val="accent3">
                  <a:tint val="46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pap'!$B$23:$B$37</c:f>
              <c:numCache>
                <c:formatCode>General</c:formatCode>
                <c:ptCount val="15"/>
                <c:pt idx="0">
                  <c:v>27.99</c:v>
                </c:pt>
                <c:pt idx="1">
                  <c:v>29.25</c:v>
                </c:pt>
                <c:pt idx="2">
                  <c:v>28.88</c:v>
                </c:pt>
                <c:pt idx="3">
                  <c:v>28.47</c:v>
                </c:pt>
                <c:pt idx="4">
                  <c:v>28.3</c:v>
                </c:pt>
                <c:pt idx="5">
                  <c:v>27.88</c:v>
                </c:pt>
                <c:pt idx="6">
                  <c:v>26.97</c:v>
                </c:pt>
                <c:pt idx="7">
                  <c:v>25.94</c:v>
                </c:pt>
                <c:pt idx="8">
                  <c:v>24.67</c:v>
                </c:pt>
                <c:pt idx="9">
                  <c:v>23.07</c:v>
                </c:pt>
                <c:pt idx="10">
                  <c:v>21.74</c:v>
                </c:pt>
                <c:pt idx="11">
                  <c:v>20.98</c:v>
                </c:pt>
                <c:pt idx="12">
                  <c:v>19.920000000000002</c:v>
                </c:pt>
                <c:pt idx="13">
                  <c:v>17.93</c:v>
                </c:pt>
                <c:pt idx="14">
                  <c:v>17.61</c:v>
                </c:pt>
              </c:numCache>
            </c:numRef>
          </c:val>
        </c:ser>
        <c:ser>
          <c:idx val="1"/>
          <c:order val="1"/>
          <c:tx>
            <c:strRef>
              <c:f>'alpha pap'!$C$22</c:f>
              <c:strCache>
                <c:ptCount val="1"/>
                <c:pt idx="0">
                  <c:v>40</c:v>
                </c:pt>
              </c:strCache>
            </c:strRef>
          </c:tx>
          <c:spPr>
            <a:ln w="9525" cap="rnd">
              <a:solidFill>
                <a:schemeClr val="accent3">
                  <a:tint val="62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pap'!$C$23:$C$37</c:f>
              <c:numCache>
                <c:formatCode>General</c:formatCode>
                <c:ptCount val="15"/>
                <c:pt idx="0">
                  <c:v>29.59</c:v>
                </c:pt>
                <c:pt idx="1">
                  <c:v>31.67</c:v>
                </c:pt>
                <c:pt idx="2">
                  <c:v>32.5</c:v>
                </c:pt>
                <c:pt idx="3">
                  <c:v>32.979999999999997</c:v>
                </c:pt>
                <c:pt idx="4">
                  <c:v>32.9</c:v>
                </c:pt>
                <c:pt idx="5">
                  <c:v>32.840000000000003</c:v>
                </c:pt>
                <c:pt idx="6">
                  <c:v>32.659999999999997</c:v>
                </c:pt>
                <c:pt idx="7">
                  <c:v>32.36</c:v>
                </c:pt>
                <c:pt idx="8">
                  <c:v>31.86</c:v>
                </c:pt>
                <c:pt idx="9">
                  <c:v>30.05</c:v>
                </c:pt>
                <c:pt idx="10">
                  <c:v>29.17</c:v>
                </c:pt>
                <c:pt idx="11">
                  <c:v>28.38</c:v>
                </c:pt>
                <c:pt idx="12">
                  <c:v>27.44</c:v>
                </c:pt>
                <c:pt idx="13">
                  <c:v>27.01</c:v>
                </c:pt>
                <c:pt idx="14">
                  <c:v>25.36</c:v>
                </c:pt>
              </c:numCache>
            </c:numRef>
          </c:val>
        </c:ser>
        <c:ser>
          <c:idx val="2"/>
          <c:order val="2"/>
          <c:tx>
            <c:strRef>
              <c:f>'alpha pap'!$D$22</c:f>
              <c:strCache>
                <c:ptCount val="1"/>
                <c:pt idx="0">
                  <c:v>50</c:v>
                </c:pt>
              </c:strCache>
            </c:strRef>
          </c:tx>
          <c:spPr>
            <a:ln w="9525" cap="rnd">
              <a:solidFill>
                <a:schemeClr val="accent3">
                  <a:tint val="77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pap'!$D$23:$D$37</c:f>
              <c:numCache>
                <c:formatCode>General</c:formatCode>
                <c:ptCount val="15"/>
                <c:pt idx="0">
                  <c:v>28.75</c:v>
                </c:pt>
                <c:pt idx="1">
                  <c:v>30.56</c:v>
                </c:pt>
                <c:pt idx="2">
                  <c:v>32.58</c:v>
                </c:pt>
                <c:pt idx="3">
                  <c:v>33.24</c:v>
                </c:pt>
                <c:pt idx="4">
                  <c:v>33.79</c:v>
                </c:pt>
                <c:pt idx="5">
                  <c:v>33.78</c:v>
                </c:pt>
                <c:pt idx="6">
                  <c:v>33.729999999999997</c:v>
                </c:pt>
                <c:pt idx="7">
                  <c:v>32.57</c:v>
                </c:pt>
                <c:pt idx="8">
                  <c:v>32.17</c:v>
                </c:pt>
                <c:pt idx="9">
                  <c:v>31.55</c:v>
                </c:pt>
                <c:pt idx="10">
                  <c:v>29.67</c:v>
                </c:pt>
                <c:pt idx="11">
                  <c:v>29.72</c:v>
                </c:pt>
                <c:pt idx="12">
                  <c:v>28.98</c:v>
                </c:pt>
                <c:pt idx="13">
                  <c:v>27.6</c:v>
                </c:pt>
                <c:pt idx="14">
                  <c:v>28.26</c:v>
                </c:pt>
              </c:numCache>
            </c:numRef>
          </c:val>
        </c:ser>
        <c:ser>
          <c:idx val="3"/>
          <c:order val="3"/>
          <c:tx>
            <c:strRef>
              <c:f>'alpha pap'!$E$22</c:f>
              <c:strCache>
                <c:ptCount val="1"/>
                <c:pt idx="0">
                  <c:v>60</c:v>
                </c:pt>
              </c:strCache>
            </c:strRef>
          </c:tx>
          <c:spPr>
            <a:ln w="9525" cap="rnd">
              <a:solidFill>
                <a:schemeClr val="accent3">
                  <a:tint val="93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pap'!$E$23:$E$37</c:f>
              <c:numCache>
                <c:formatCode>General</c:formatCode>
                <c:ptCount val="15"/>
                <c:pt idx="0">
                  <c:v>28.25</c:v>
                </c:pt>
                <c:pt idx="1">
                  <c:v>30.63</c:v>
                </c:pt>
                <c:pt idx="2">
                  <c:v>32.130000000000003</c:v>
                </c:pt>
                <c:pt idx="3">
                  <c:v>32.78</c:v>
                </c:pt>
                <c:pt idx="4">
                  <c:v>33.520000000000003</c:v>
                </c:pt>
                <c:pt idx="5">
                  <c:v>33.71</c:v>
                </c:pt>
                <c:pt idx="6">
                  <c:v>33.72</c:v>
                </c:pt>
                <c:pt idx="7">
                  <c:v>33.39</c:v>
                </c:pt>
                <c:pt idx="8">
                  <c:v>32.090000000000003</c:v>
                </c:pt>
                <c:pt idx="9">
                  <c:v>30.2</c:v>
                </c:pt>
                <c:pt idx="10">
                  <c:v>29.98</c:v>
                </c:pt>
                <c:pt idx="11">
                  <c:v>28.8</c:v>
                </c:pt>
                <c:pt idx="12">
                  <c:v>28.39</c:v>
                </c:pt>
                <c:pt idx="13">
                  <c:v>25.02</c:v>
                </c:pt>
                <c:pt idx="14">
                  <c:v>25.99</c:v>
                </c:pt>
              </c:numCache>
            </c:numRef>
          </c:val>
        </c:ser>
        <c:ser>
          <c:idx val="4"/>
          <c:order val="4"/>
          <c:tx>
            <c:strRef>
              <c:f>'alpha pap'!$F$22</c:f>
              <c:strCache>
                <c:ptCount val="1"/>
                <c:pt idx="0">
                  <c:v>70</c:v>
                </c:pt>
              </c:strCache>
            </c:strRef>
          </c:tx>
          <c:spPr>
            <a:ln w="9525" cap="rnd">
              <a:solidFill>
                <a:schemeClr val="accent3">
                  <a:shade val="92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pap'!$F$23:$F$37</c:f>
              <c:numCache>
                <c:formatCode>General</c:formatCode>
                <c:ptCount val="15"/>
                <c:pt idx="0">
                  <c:v>28.71</c:v>
                </c:pt>
                <c:pt idx="1">
                  <c:v>31.28</c:v>
                </c:pt>
                <c:pt idx="2">
                  <c:v>32.369999999999997</c:v>
                </c:pt>
                <c:pt idx="3">
                  <c:v>33.270000000000003</c:v>
                </c:pt>
                <c:pt idx="4">
                  <c:v>33.79</c:v>
                </c:pt>
                <c:pt idx="5">
                  <c:v>33.83</c:v>
                </c:pt>
                <c:pt idx="6">
                  <c:v>33.94</c:v>
                </c:pt>
                <c:pt idx="7">
                  <c:v>33.72</c:v>
                </c:pt>
                <c:pt idx="8">
                  <c:v>32.81</c:v>
                </c:pt>
                <c:pt idx="9">
                  <c:v>32.18</c:v>
                </c:pt>
                <c:pt idx="10">
                  <c:v>30.31</c:v>
                </c:pt>
                <c:pt idx="11">
                  <c:v>29.74</c:v>
                </c:pt>
                <c:pt idx="12">
                  <c:v>30.01</c:v>
                </c:pt>
                <c:pt idx="13">
                  <c:v>28.36</c:v>
                </c:pt>
                <c:pt idx="14">
                  <c:v>25.63</c:v>
                </c:pt>
              </c:numCache>
            </c:numRef>
          </c:val>
        </c:ser>
        <c:ser>
          <c:idx val="5"/>
          <c:order val="5"/>
          <c:tx>
            <c:strRef>
              <c:f>'alpha pap'!$G$22</c:f>
              <c:strCache>
                <c:ptCount val="1"/>
                <c:pt idx="0">
                  <c:v>80</c:v>
                </c:pt>
              </c:strCache>
            </c:strRef>
          </c:tx>
          <c:spPr>
            <a:ln w="9525" cap="rnd">
              <a:solidFill>
                <a:schemeClr val="accent3">
                  <a:shade val="76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pap'!$G$23:$G$37</c:f>
              <c:numCache>
                <c:formatCode>General</c:formatCode>
                <c:ptCount val="15"/>
                <c:pt idx="0">
                  <c:v>27.82</c:v>
                </c:pt>
                <c:pt idx="1">
                  <c:v>31.23</c:v>
                </c:pt>
                <c:pt idx="2">
                  <c:v>32.31</c:v>
                </c:pt>
                <c:pt idx="3">
                  <c:v>33.22</c:v>
                </c:pt>
                <c:pt idx="4">
                  <c:v>33.770000000000003</c:v>
                </c:pt>
                <c:pt idx="5">
                  <c:v>34.04</c:v>
                </c:pt>
                <c:pt idx="6">
                  <c:v>33.83</c:v>
                </c:pt>
                <c:pt idx="7">
                  <c:v>34.17</c:v>
                </c:pt>
                <c:pt idx="8">
                  <c:v>33.630000000000003</c:v>
                </c:pt>
                <c:pt idx="9">
                  <c:v>32.590000000000003</c:v>
                </c:pt>
                <c:pt idx="10">
                  <c:v>31.61</c:v>
                </c:pt>
                <c:pt idx="11">
                  <c:v>30.84</c:v>
                </c:pt>
                <c:pt idx="12">
                  <c:v>28.74</c:v>
                </c:pt>
                <c:pt idx="13">
                  <c:v>29.25</c:v>
                </c:pt>
                <c:pt idx="14">
                  <c:v>27.48</c:v>
                </c:pt>
              </c:numCache>
            </c:numRef>
          </c:val>
        </c:ser>
        <c:ser>
          <c:idx val="6"/>
          <c:order val="6"/>
          <c:tx>
            <c:strRef>
              <c:f>'alpha pap'!$H$22</c:f>
              <c:strCache>
                <c:ptCount val="1"/>
                <c:pt idx="0">
                  <c:v>90</c:v>
                </c:pt>
              </c:strCache>
            </c:strRef>
          </c:tx>
          <c:spPr>
            <a:ln w="9525" cap="rnd">
              <a:solidFill>
                <a:schemeClr val="accent3">
                  <a:shade val="61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pap'!$H$23:$H$37</c:f>
              <c:numCache>
                <c:formatCode>General</c:formatCode>
                <c:ptCount val="15"/>
                <c:pt idx="0">
                  <c:v>28.28</c:v>
                </c:pt>
                <c:pt idx="1">
                  <c:v>31.41</c:v>
                </c:pt>
                <c:pt idx="2">
                  <c:v>32.19</c:v>
                </c:pt>
                <c:pt idx="3">
                  <c:v>33.03</c:v>
                </c:pt>
                <c:pt idx="4">
                  <c:v>33.75</c:v>
                </c:pt>
                <c:pt idx="5">
                  <c:v>34.01</c:v>
                </c:pt>
                <c:pt idx="6">
                  <c:v>34.17</c:v>
                </c:pt>
                <c:pt idx="7">
                  <c:v>34.200000000000003</c:v>
                </c:pt>
                <c:pt idx="8">
                  <c:v>33.67</c:v>
                </c:pt>
                <c:pt idx="9">
                  <c:v>33.32</c:v>
                </c:pt>
                <c:pt idx="10">
                  <c:v>32.94</c:v>
                </c:pt>
                <c:pt idx="11">
                  <c:v>31.66</c:v>
                </c:pt>
                <c:pt idx="12">
                  <c:v>31.16</c:v>
                </c:pt>
                <c:pt idx="13">
                  <c:v>29.82</c:v>
                </c:pt>
                <c:pt idx="14">
                  <c:v>28.48</c:v>
                </c:pt>
              </c:numCache>
            </c:numRef>
          </c:val>
        </c:ser>
        <c:ser>
          <c:idx val="7"/>
          <c:order val="7"/>
          <c:tx>
            <c:strRef>
              <c:f>'alpha pap'!$I$22</c:f>
              <c:strCache>
                <c:ptCount val="1"/>
                <c:pt idx="0">
                  <c:v>100</c:v>
                </c:pt>
              </c:strCache>
            </c:strRef>
          </c:tx>
          <c:spPr>
            <a:ln w="9525" cap="rnd">
              <a:solidFill>
                <a:schemeClr val="accent3">
                  <a:shade val="45000"/>
                </a:schemeClr>
              </a:solidFill>
              <a:round/>
            </a:ln>
            <a:effectLst/>
          </c:spPr>
          <c:cat>
            <c:numRef>
              <c:f>'alpha pap'!$A$23:$A$37</c:f>
              <c:numCache>
                <c:formatCode>General</c:formatCode>
                <c:ptCount val="15"/>
                <c:pt idx="0">
                  <c:v>1500</c:v>
                </c:pt>
                <c:pt idx="1">
                  <c:v>1700</c:v>
                </c:pt>
                <c:pt idx="2">
                  <c:v>1900</c:v>
                </c:pt>
                <c:pt idx="3">
                  <c:v>2100</c:v>
                </c:pt>
                <c:pt idx="4">
                  <c:v>2300</c:v>
                </c:pt>
                <c:pt idx="5">
                  <c:v>2500</c:v>
                </c:pt>
                <c:pt idx="6">
                  <c:v>2700</c:v>
                </c:pt>
                <c:pt idx="7">
                  <c:v>2900</c:v>
                </c:pt>
                <c:pt idx="8">
                  <c:v>3100</c:v>
                </c:pt>
                <c:pt idx="9">
                  <c:v>3300</c:v>
                </c:pt>
                <c:pt idx="10">
                  <c:v>3500</c:v>
                </c:pt>
                <c:pt idx="11">
                  <c:v>3700</c:v>
                </c:pt>
                <c:pt idx="12">
                  <c:v>3900</c:v>
                </c:pt>
                <c:pt idx="13">
                  <c:v>4100</c:v>
                </c:pt>
                <c:pt idx="14">
                  <c:v>4200</c:v>
                </c:pt>
              </c:numCache>
            </c:numRef>
          </c:cat>
          <c:val>
            <c:numRef>
              <c:f>'alpha pap'!$I$23:$I$37</c:f>
              <c:numCache>
                <c:formatCode>General</c:formatCode>
                <c:ptCount val="15"/>
                <c:pt idx="0">
                  <c:v>27.12</c:v>
                </c:pt>
                <c:pt idx="1">
                  <c:v>30.54</c:v>
                </c:pt>
                <c:pt idx="2">
                  <c:v>31.87</c:v>
                </c:pt>
                <c:pt idx="3">
                  <c:v>32.49</c:v>
                </c:pt>
                <c:pt idx="4">
                  <c:v>33.299999999999997</c:v>
                </c:pt>
                <c:pt idx="5">
                  <c:v>33.479999999999997</c:v>
                </c:pt>
                <c:pt idx="6">
                  <c:v>33.58</c:v>
                </c:pt>
                <c:pt idx="7">
                  <c:v>33.6</c:v>
                </c:pt>
                <c:pt idx="8">
                  <c:v>33.520000000000003</c:v>
                </c:pt>
                <c:pt idx="9">
                  <c:v>33.29</c:v>
                </c:pt>
                <c:pt idx="10">
                  <c:v>32.43</c:v>
                </c:pt>
                <c:pt idx="11">
                  <c:v>32.04</c:v>
                </c:pt>
                <c:pt idx="12">
                  <c:v>31.63</c:v>
                </c:pt>
                <c:pt idx="13">
                  <c:v>30.15</c:v>
                </c:pt>
                <c:pt idx="14">
                  <c:v>28.24</c:v>
                </c:pt>
              </c:numCache>
            </c:numRef>
          </c:val>
        </c:ser>
        <c:bandFmts>
          <c:bandFmt>
            <c:idx val="0"/>
            <c:spPr>
              <a:ln w="9525" cap="rnd">
                <a:solidFill>
                  <a:schemeClr val="accent3">
                    <a:tint val="42000"/>
                  </a:schemeClr>
                </a:solidFill>
                <a:round/>
              </a:ln>
              <a:effectLst/>
            </c:spPr>
          </c:bandFmt>
          <c:bandFmt>
            <c:idx val="1"/>
            <c:spPr>
              <a:ln w="9525" cap="rnd">
                <a:solidFill>
                  <a:schemeClr val="accent3">
                    <a:tint val="54000"/>
                  </a:schemeClr>
                </a:solidFill>
                <a:round/>
              </a:ln>
              <a:effectLst/>
            </c:spPr>
          </c:bandFmt>
          <c:bandFmt>
            <c:idx val="2"/>
            <c:spPr>
              <a:ln w="9525" cap="rnd">
                <a:solidFill>
                  <a:schemeClr val="accent3">
                    <a:tint val="65000"/>
                  </a:schemeClr>
                </a:solidFill>
                <a:round/>
              </a:ln>
              <a:effectLst/>
            </c:spPr>
          </c:bandFmt>
          <c:bandFmt>
            <c:idx val="3"/>
            <c:spPr>
              <a:ln w="9525" cap="rnd">
                <a:solidFill>
                  <a:schemeClr val="accent3">
                    <a:tint val="77000"/>
                  </a:schemeClr>
                </a:solidFill>
                <a:round/>
              </a:ln>
              <a:effectLst/>
            </c:spPr>
          </c:bandFmt>
          <c:bandFmt>
            <c:idx val="4"/>
            <c:spPr>
              <a:ln w="9525" cap="rnd">
                <a:solidFill>
                  <a:schemeClr val="accent3">
                    <a:tint val="89000"/>
                  </a:schemeClr>
                </a:solidFill>
                <a:round/>
              </a:ln>
              <a:effectLst/>
            </c:spPr>
          </c:bandFmt>
          <c:bandFmt>
            <c:idx val="5"/>
            <c:spPr>
              <a:ln w="9525" cap="rnd">
                <a:solidFill>
                  <a:schemeClr val="accent3"/>
                </a:solidFill>
                <a:round/>
              </a:ln>
              <a:effectLst/>
            </c:spPr>
          </c:bandFmt>
          <c:bandFmt>
            <c:idx val="6"/>
            <c:spPr>
              <a:ln w="9525" cap="rnd">
                <a:solidFill>
                  <a:schemeClr val="accent3">
                    <a:shade val="88000"/>
                  </a:schemeClr>
                </a:solidFill>
                <a:round/>
              </a:ln>
              <a:effectLst/>
            </c:spPr>
          </c:bandFmt>
          <c:bandFmt>
            <c:idx val="7"/>
            <c:spPr>
              <a:ln w="9525" cap="rnd">
                <a:solidFill>
                  <a:schemeClr val="accent3">
                    <a:shade val="76000"/>
                  </a:schemeClr>
                </a:solidFill>
                <a:round/>
              </a:ln>
              <a:effectLst/>
            </c:spPr>
          </c:bandFmt>
          <c:bandFmt>
            <c:idx val="8"/>
            <c:spPr>
              <a:ln w="9525" cap="rnd">
                <a:solidFill>
                  <a:schemeClr val="accent3">
                    <a:shade val="65000"/>
                  </a:schemeClr>
                </a:solidFill>
                <a:round/>
              </a:ln>
              <a:effectLst/>
            </c:spPr>
          </c:bandFmt>
          <c:bandFmt>
            <c:idx val="9"/>
            <c:spPr>
              <a:ln w="9525" cap="rnd">
                <a:solidFill>
                  <a:schemeClr val="accent3">
                    <a:shade val="53000"/>
                  </a:schemeClr>
                </a:solidFill>
                <a:round/>
              </a:ln>
              <a:effectLst/>
            </c:spPr>
          </c:bandFmt>
          <c:bandFmt>
            <c:idx val="10"/>
            <c:spPr>
              <a:ln w="9525" cap="rnd">
                <a:solidFill>
                  <a:schemeClr val="accent3">
                    <a:shade val="41000"/>
                  </a:schemeClr>
                </a:solidFill>
                <a:round/>
              </a:ln>
              <a:effectLst/>
            </c:spPr>
          </c:bandFmt>
          <c:bandFmt>
            <c:idx val="11"/>
            <c:spPr>
              <a:ln w="9525" cap="rnd">
                <a:solidFill>
                  <a:schemeClr val="accent3">
                    <a:shade val="41000"/>
                  </a:schemeClr>
                </a:solidFill>
                <a:round/>
              </a:ln>
              <a:effectLst/>
            </c:spPr>
          </c:bandFmt>
          <c:bandFmt>
            <c:idx val="12"/>
            <c:spPr>
              <a:ln w="9525" cap="rnd">
                <a:solidFill>
                  <a:schemeClr val="accent3">
                    <a:shade val="41000"/>
                  </a:schemeClr>
                </a:solidFill>
                <a:round/>
              </a:ln>
              <a:effectLst/>
            </c:spPr>
          </c:bandFmt>
          <c:bandFmt>
            <c:idx val="13"/>
            <c:spPr>
              <a:ln w="9525" cap="rnd">
                <a:solidFill>
                  <a:schemeClr val="accent3">
                    <a:shade val="41000"/>
                  </a:schemeClr>
                </a:solidFill>
                <a:round/>
              </a:ln>
              <a:effectLst/>
            </c:spPr>
          </c:bandFmt>
          <c:bandFmt>
            <c:idx val="14"/>
            <c:spPr>
              <a:ln w="9525" cap="rnd">
                <a:solidFill>
                  <a:schemeClr val="accent3">
                    <a:shade val="41000"/>
                  </a:schemeClr>
                </a:solidFill>
                <a:round/>
              </a:ln>
              <a:effectLst/>
            </c:spPr>
          </c:bandFmt>
        </c:bandFmts>
        <c:axId val="-901203072"/>
        <c:axId val="-901202528"/>
        <c:axId val="-905131248"/>
      </c:surface3DChart>
      <c:catAx>
        <c:axId val="-9012030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02528"/>
        <c:crosses val="autoZero"/>
        <c:auto val="1"/>
        <c:lblAlgn val="ctr"/>
        <c:lblOffset val="100"/>
        <c:noMultiLvlLbl val="0"/>
      </c:catAx>
      <c:valAx>
        <c:axId val="-901202528"/>
        <c:scaling>
          <c:orientation val="minMax"/>
          <c:min val="1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03072"/>
        <c:crosses val="autoZero"/>
        <c:crossBetween val="midCat"/>
        <c:majorUnit val="2"/>
      </c:valAx>
      <c:serAx>
        <c:axId val="-90513124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02528"/>
        <c:crosses val="autoZero"/>
      </c:ser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Evolution du rendement et de la puissance en fonction de la richesse</a:t>
            </a:r>
          </a:p>
        </c:rich>
      </c:tx>
      <c:layout>
        <c:manualLayout>
          <c:xMode val="edge"/>
          <c:yMode val="edge"/>
          <c:x val="0.19270078434607782"/>
          <c:y val="1.95599022004889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1"/>
          <c:order val="1"/>
          <c:tx>
            <c:strRef>
              <c:f>Feuil1!$A$3</c:f>
              <c:strCache>
                <c:ptCount val="1"/>
                <c:pt idx="0">
                  <c:v>puissance (kW)</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Feuil1!$B$1:$I$1</c:f>
              <c:numCache>
                <c:formatCode>General</c:formatCode>
                <c:ptCount val="8"/>
                <c:pt idx="0">
                  <c:v>0.85</c:v>
                </c:pt>
                <c:pt idx="1">
                  <c:v>0.9</c:v>
                </c:pt>
                <c:pt idx="2">
                  <c:v>0.95</c:v>
                </c:pt>
                <c:pt idx="3">
                  <c:v>1</c:v>
                </c:pt>
                <c:pt idx="4">
                  <c:v>1.05</c:v>
                </c:pt>
                <c:pt idx="5">
                  <c:v>1.1000000000000001</c:v>
                </c:pt>
                <c:pt idx="6">
                  <c:v>1.1499999999999999</c:v>
                </c:pt>
                <c:pt idx="7">
                  <c:v>1.2</c:v>
                </c:pt>
              </c:numCache>
            </c:numRef>
          </c:xVal>
          <c:yVal>
            <c:numRef>
              <c:f>Feuil1!$B$3:$I$3</c:f>
              <c:numCache>
                <c:formatCode>General</c:formatCode>
                <c:ptCount val="8"/>
                <c:pt idx="0">
                  <c:v>1.63</c:v>
                </c:pt>
                <c:pt idx="1">
                  <c:v>1.84</c:v>
                </c:pt>
                <c:pt idx="2">
                  <c:v>1.92</c:v>
                </c:pt>
                <c:pt idx="3">
                  <c:v>2.0099999999999998</c:v>
                </c:pt>
                <c:pt idx="4">
                  <c:v>2.2400000000000002</c:v>
                </c:pt>
                <c:pt idx="5">
                  <c:v>2.2999999999999998</c:v>
                </c:pt>
                <c:pt idx="6">
                  <c:v>2.27</c:v>
                </c:pt>
                <c:pt idx="7">
                  <c:v>2.2200000000000002</c:v>
                </c:pt>
              </c:numCache>
            </c:numRef>
          </c:yVal>
          <c:smooth val="1"/>
        </c:ser>
        <c:dLbls>
          <c:showLegendKey val="0"/>
          <c:showVal val="0"/>
          <c:showCatName val="0"/>
          <c:showSerName val="0"/>
          <c:showPercent val="0"/>
          <c:showBubbleSize val="0"/>
        </c:dLbls>
        <c:axId val="-901201440"/>
        <c:axId val="-901212864"/>
      </c:scatterChart>
      <c:scatterChart>
        <c:scatterStyle val="smoothMarker"/>
        <c:varyColors val="0"/>
        <c:ser>
          <c:idx val="0"/>
          <c:order val="0"/>
          <c:tx>
            <c:strRef>
              <c:f>Feuil1!$A$2</c:f>
              <c:strCache>
                <c:ptCount val="1"/>
                <c:pt idx="0">
                  <c:v>rendement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Feuil1!$B$1:$I$1</c:f>
              <c:numCache>
                <c:formatCode>General</c:formatCode>
                <c:ptCount val="8"/>
                <c:pt idx="0">
                  <c:v>0.85</c:v>
                </c:pt>
                <c:pt idx="1">
                  <c:v>0.9</c:v>
                </c:pt>
                <c:pt idx="2">
                  <c:v>0.95</c:v>
                </c:pt>
                <c:pt idx="3">
                  <c:v>1</c:v>
                </c:pt>
                <c:pt idx="4">
                  <c:v>1.05</c:v>
                </c:pt>
                <c:pt idx="5">
                  <c:v>1.1000000000000001</c:v>
                </c:pt>
                <c:pt idx="6">
                  <c:v>1.1499999999999999</c:v>
                </c:pt>
                <c:pt idx="7">
                  <c:v>1.2</c:v>
                </c:pt>
              </c:numCache>
            </c:numRef>
          </c:xVal>
          <c:yVal>
            <c:numRef>
              <c:f>Feuil1!$B$2:$I$2</c:f>
              <c:numCache>
                <c:formatCode>General</c:formatCode>
                <c:ptCount val="8"/>
                <c:pt idx="0">
                  <c:v>31.1</c:v>
                </c:pt>
                <c:pt idx="1">
                  <c:v>33</c:v>
                </c:pt>
                <c:pt idx="2">
                  <c:v>32.9</c:v>
                </c:pt>
                <c:pt idx="3">
                  <c:v>32.5</c:v>
                </c:pt>
                <c:pt idx="4">
                  <c:v>31</c:v>
                </c:pt>
                <c:pt idx="5">
                  <c:v>30.6</c:v>
                </c:pt>
                <c:pt idx="6">
                  <c:v>29.8</c:v>
                </c:pt>
                <c:pt idx="7">
                  <c:v>28.1</c:v>
                </c:pt>
              </c:numCache>
            </c:numRef>
          </c:yVal>
          <c:smooth val="1"/>
        </c:ser>
        <c:dLbls>
          <c:showLegendKey val="0"/>
          <c:showVal val="0"/>
          <c:showCatName val="0"/>
          <c:showSerName val="0"/>
          <c:showPercent val="0"/>
          <c:showBubbleSize val="0"/>
        </c:dLbls>
        <c:axId val="-901214496"/>
        <c:axId val="-901216128"/>
      </c:scatterChart>
      <c:valAx>
        <c:axId val="-901201440"/>
        <c:scaling>
          <c:orientation val="minMax"/>
          <c:min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12864"/>
        <c:crosses val="autoZero"/>
        <c:crossBetween val="midCat"/>
      </c:valAx>
      <c:valAx>
        <c:axId val="-901212864"/>
        <c:scaling>
          <c:orientation val="minMax"/>
          <c:min val="1.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01440"/>
        <c:crosses val="autoZero"/>
        <c:crossBetween val="midCat"/>
      </c:valAx>
      <c:valAx>
        <c:axId val="-901216128"/>
        <c:scaling>
          <c:orientation val="minMax"/>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901214496"/>
        <c:crosses val="max"/>
        <c:crossBetween val="midCat"/>
      </c:valAx>
      <c:valAx>
        <c:axId val="-901214496"/>
        <c:scaling>
          <c:orientation val="minMax"/>
        </c:scaling>
        <c:delete val="1"/>
        <c:axPos val="b"/>
        <c:numFmt formatCode="General" sourceLinked="1"/>
        <c:majorTickMark val="out"/>
        <c:minorTickMark val="none"/>
        <c:tickLblPos val="nextTo"/>
        <c:crossAx val="-9012161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Paco TANCHON</cp:lastModifiedBy>
  <cp:revision>2</cp:revision>
  <dcterms:created xsi:type="dcterms:W3CDTF">2018-06-21T12:50:00Z</dcterms:created>
  <dcterms:modified xsi:type="dcterms:W3CDTF">2018-06-21T18:20:00Z</dcterms:modified>
</cp:coreProperties>
</file>