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660BC">
      <w:r>
        <w:t>CROSSTABS</w:t>
      </w:r>
    </w:p>
    <w:p w:rsidR="00000000" w:rsidRDefault="00B660BC">
      <w:r>
        <w:t xml:space="preserve">  /TABLES=</w:t>
      </w:r>
      <w:proofErr w:type="spellStart"/>
      <w:r>
        <w:t>inccat</w:t>
      </w:r>
      <w:proofErr w:type="spellEnd"/>
      <w:r>
        <w:t xml:space="preserve"> BY </w:t>
      </w:r>
      <w:proofErr w:type="spellStart"/>
      <w:r>
        <w:t>ownpda</w:t>
      </w:r>
      <w:proofErr w:type="spellEnd"/>
    </w:p>
    <w:p w:rsidR="00000000" w:rsidRDefault="00B660BC">
      <w:r>
        <w:t xml:space="preserve">  /FORMAT=AVALUE TABLES</w:t>
      </w:r>
    </w:p>
    <w:p w:rsidR="00000000" w:rsidRDefault="00B660BC">
      <w:r>
        <w:t xml:space="preserve">  /CELLS=COUNT TOTAL</w:t>
      </w:r>
    </w:p>
    <w:p w:rsidR="00000000" w:rsidRDefault="00B660BC">
      <w:r>
        <w:t xml:space="preserve">  /COUNT ASIS.</w:t>
      </w:r>
    </w:p>
    <w:p w:rsidR="00000000" w:rsidRDefault="00B660BC"/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660B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Crosstabs</w:t>
      </w:r>
    </w:p>
    <w:p w:rsidR="00000000" w:rsidRDefault="00B660BC">
      <w:pPr>
        <w:rPr>
          <w:rFonts w:ascii="Arial" w:hAnsi="Arial" w:cs="Arial"/>
          <w:sz w:val="26"/>
          <w:szCs w:val="26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24-OCT-2022 22:37:21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C:\Users\GEORGE\Desktop\Stat Consulting\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demo.sav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for each table are based on all the cases with valid data in the specified range(s) for all variables in each table.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CROSSTABS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/TABLES=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inccat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ownpda</w:t>
            </w:r>
            <w:proofErr w:type="spellEnd"/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/FORMAT=AVALUE TABLES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/CELLS=COUNT TOTAL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/COUNT ASIS.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Dimensions Requested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Cells Available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174762</w:t>
            </w:r>
          </w:p>
        </w:tc>
      </w:tr>
    </w:tbl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/>
    <w:p w:rsidR="00000000" w:rsidRDefault="00B660BC">
      <w:r>
        <w:t>[DataSet1] C:\Users\GEORGE\Desktop\Stat Consulting\</w:t>
      </w:r>
      <w:proofErr w:type="spellStart"/>
      <w:r>
        <w:t>demo.sav</w:t>
      </w:r>
      <w:proofErr w:type="spellEnd"/>
    </w:p>
    <w:p w:rsidR="00000000" w:rsidRDefault="00B660BC"/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21"/>
        <w:gridCol w:w="1021"/>
        <w:gridCol w:w="1020"/>
        <w:gridCol w:w="1020"/>
        <w:gridCol w:w="1020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 * Owns PDA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8"/>
        <w:gridCol w:w="1177"/>
        <w:gridCol w:w="1114"/>
        <w:gridCol w:w="1021"/>
        <w:gridCol w:w="1021"/>
        <w:gridCol w:w="10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Income category in thousands * Owns PDA Crosstabulation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PDA</w:t>
            </w:r>
          </w:p>
        </w:tc>
        <w:tc>
          <w:tcPr>
            <w:tcW w:w="102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2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2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11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983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</w:p>
        </w:tc>
        <w:tc>
          <w:tcPr>
            <w:tcW w:w="102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15.4%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30.2%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889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231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1288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430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20.1%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6.7%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5093</w:t>
            </w:r>
          </w:p>
        </w:tc>
        <w:tc>
          <w:tcPr>
            <w:tcW w:w="10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1307</w:t>
            </w:r>
          </w:p>
        </w:tc>
        <w:tc>
          <w:tcPr>
            <w:tcW w:w="10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</w:t>
            </w:r>
          </w:p>
        </w:tc>
        <w:tc>
          <w:tcPr>
            <w:tcW w:w="102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79.6%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20.4%</w:t>
            </w:r>
          </w:p>
        </w:tc>
        <w:tc>
          <w:tcPr>
            <w:tcW w:w="102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r>
        <w:t>CROSSTABS</w:t>
      </w:r>
    </w:p>
    <w:p w:rsidR="00000000" w:rsidRDefault="00B660BC">
      <w:r>
        <w:t xml:space="preserve">  /TABLES=</w:t>
      </w:r>
      <w:proofErr w:type="spellStart"/>
      <w:r>
        <w:t>inccat</w:t>
      </w:r>
      <w:proofErr w:type="spellEnd"/>
      <w:r>
        <w:t xml:space="preserve"> BY </w:t>
      </w:r>
      <w:proofErr w:type="spellStart"/>
      <w:r>
        <w:t>ownpda</w:t>
      </w:r>
      <w:proofErr w:type="spellEnd"/>
    </w:p>
    <w:p w:rsidR="00000000" w:rsidRDefault="00B660BC">
      <w:r>
        <w:t xml:space="preserve">  /FORMAT=AVALUE TABLES</w:t>
      </w:r>
    </w:p>
    <w:p w:rsidR="00000000" w:rsidRDefault="00B660BC">
      <w:r>
        <w:t xml:space="preserve">  /STATISTICS=CHISQ</w:t>
      </w:r>
    </w:p>
    <w:p w:rsidR="00000000" w:rsidRDefault="00B660BC">
      <w:r>
        <w:t xml:space="preserve">  /CELLS=COUNT TOTAL</w:t>
      </w:r>
    </w:p>
    <w:p w:rsidR="00000000" w:rsidRDefault="00B660BC">
      <w:r>
        <w:t xml:space="preserve">  /COUNT ASIS.</w:t>
      </w:r>
    </w:p>
    <w:p w:rsidR="00000000" w:rsidRDefault="00B660BC"/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660BC"/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B660B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Crosstabs</w:t>
      </w:r>
    </w:p>
    <w:p w:rsidR="00000000" w:rsidRDefault="00B660BC">
      <w:pPr>
        <w:rPr>
          <w:rFonts w:ascii="Arial" w:hAnsi="Arial" w:cs="Arial"/>
          <w:sz w:val="26"/>
          <w:szCs w:val="26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24-OCT-2022 23:36:30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C:\Users\GEORGE\Desktop\Stat Consulting\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demo.sav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for each table are based on all the cases with valid data in the specified range(s) for all variables in each table.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CROSSTABS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/TABLES=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inccat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ownpda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BY ed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/FORMAT=AVALUE TABLES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/STATISTICS=CHISQ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/CELLS=COUNT</w:t>
            </w:r>
          </w:p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/COUNT ASIS.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Dimensions Requested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Cells Available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142987</w:t>
            </w:r>
          </w:p>
        </w:tc>
      </w:tr>
    </w:tbl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/>
    <w:p w:rsidR="00000000" w:rsidRDefault="00B660BC">
      <w:r>
        <w:t>[DataSet1] C:\Users\GEORGE\Desktop\Stat Consulting\</w:t>
      </w:r>
      <w:proofErr w:type="spellStart"/>
      <w:r>
        <w:t>demo.sav</w:t>
      </w:r>
      <w:proofErr w:type="spellEnd"/>
    </w:p>
    <w:p w:rsidR="00000000" w:rsidRDefault="00B660BC"/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021"/>
        <w:gridCol w:w="1021"/>
        <w:gridCol w:w="1020"/>
        <w:gridCol w:w="1020"/>
        <w:gridCol w:w="1020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0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40" w:type="dxa"/>
            <w:gridSpan w:val="2"/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20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 * Owns PDA * Level of education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4"/>
        <w:gridCol w:w="2473"/>
        <w:gridCol w:w="1174"/>
        <w:gridCol w:w="1019"/>
        <w:gridCol w:w="1019"/>
        <w:gridCol w:w="10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Income category in thousands * Owns PDA * Level of education Crosstabulation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1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education</w:t>
            </w:r>
          </w:p>
        </w:tc>
        <w:tc>
          <w:tcPr>
            <w:tcW w:w="203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Owns PDA</w:t>
            </w:r>
          </w:p>
        </w:tc>
        <w:tc>
          <w:tcPr>
            <w:tcW w:w="101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1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19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1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 high school</w:t>
            </w:r>
          </w:p>
        </w:tc>
        <w:tc>
          <w:tcPr>
            <w:tcW w:w="247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01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272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1272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school degree</w:t>
            </w:r>
          </w:p>
        </w:tc>
        <w:tc>
          <w:tcPr>
            <w:tcW w:w="2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329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418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1657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college</w:t>
            </w:r>
          </w:p>
        </w:tc>
        <w:tc>
          <w:tcPr>
            <w:tcW w:w="2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274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1061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degree</w:t>
            </w:r>
          </w:p>
        </w:tc>
        <w:tc>
          <w:tcPr>
            <w:tcW w:w="2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146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335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187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923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432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Post-undergraduate degree</w:t>
            </w:r>
          </w:p>
        </w:tc>
        <w:tc>
          <w:tcPr>
            <w:tcW w:w="2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179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Income category in thousands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 $25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983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$25 - $49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1933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455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$50 - $74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889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231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$75+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1288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430</w:t>
            </w:r>
          </w:p>
        </w:tc>
        <w:tc>
          <w:tcPr>
            <w:tcW w:w="101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6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1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5093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1307</w:t>
            </w:r>
          </w:p>
        </w:tc>
        <w:tc>
          <w:tcPr>
            <w:tcW w:w="101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</w:tbl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B660B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2475"/>
        <w:gridCol w:w="1020"/>
        <w:gridCol w:w="1020"/>
        <w:gridCol w:w="14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 of education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48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Asymp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Sig. (2-sided)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Did not complete high school</w:t>
            </w:r>
          </w:p>
        </w:tc>
        <w:tc>
          <w:tcPr>
            <w:tcW w:w="24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Likelihood Ratio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5.883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Linear-by-Linear Association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4.759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Valid Cases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1390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school degree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3.264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Likelihood Ratio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Linear-by-Linear Association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2.997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Valid Cases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1936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college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Likelihood Ratio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Linear-by-Linear Association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Valid Cases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1360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College degree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12.289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Likelihood Ratio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12.297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Linear-by-Linear Association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7.717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Valid Cases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1355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Post-undergraduate degree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2.672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Likelihood Ratio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2.682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Linear-by-Linear Association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Valid Cases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37.677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Likelihood Ratio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37.313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Linear-by-Linear Association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36.537</w:t>
            </w:r>
          </w:p>
        </w:tc>
        <w:tc>
          <w:tcPr>
            <w:tcW w:w="10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B660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Valid Cases</w:t>
            </w:r>
          </w:p>
        </w:tc>
        <w:tc>
          <w:tcPr>
            <w:tcW w:w="10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B660B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B660B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B660BC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0 cells (0.0%) have expected count less than 5. The minimum expected count is 228.73.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0 cells (0.0%) have expected count less than 5. The minimum expected count is 19.02.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0 cells (0.0%) have expected count less than 5. The minimum expected count is 46.98.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0 cells (0.0%) have expected count less than 5. The minimum expected count is 52.98.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 0 cells (0.0%) have expected count less than 5. The minimum expected count</w:t>
            </w:r>
            <w:r>
              <w:rPr>
                <w:rFonts w:ascii="Arial" w:hAnsi="Arial" w:cs="Arial"/>
                <w:sz w:val="18"/>
                <w:szCs w:val="18"/>
              </w:rPr>
              <w:t xml:space="preserve"> is 62.49.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B660BC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0 cells (0.0%) have expected count less than 5. The minimum expected count is 18.45.</w:t>
            </w:r>
          </w:p>
        </w:tc>
      </w:tr>
    </w:tbl>
    <w:p w:rsidR="00000000" w:rsidRDefault="003D4DF2">
      <w:pPr>
        <w:spacing w:line="400" w:lineRule="atLeast"/>
        <w:rPr>
          <w:rFonts w:ascii="Segoe UI" w:hAnsi="Segoe UI" w:cs="Segoe UI"/>
          <w:b/>
          <w:color w:val="auto"/>
          <w:sz w:val="24"/>
          <w:szCs w:val="24"/>
          <w:u w:val="single"/>
        </w:rPr>
      </w:pPr>
      <w:r w:rsidRPr="003D4DF2">
        <w:rPr>
          <w:rFonts w:ascii="Segoe UI" w:hAnsi="Segoe UI" w:cs="Segoe UI"/>
          <w:b/>
          <w:color w:val="auto"/>
          <w:sz w:val="24"/>
          <w:szCs w:val="24"/>
          <w:u w:val="single"/>
        </w:rPr>
        <w:t>SUMMARY</w:t>
      </w:r>
    </w:p>
    <w:p w:rsidR="003D4DF2" w:rsidRPr="003D4DF2" w:rsidRDefault="003D4DF2" w:rsidP="003D4DF2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3D4DF2">
        <w:rPr>
          <w:rFonts w:ascii="Segoe UI" w:hAnsi="Segoe UI" w:cs="Segoe UI"/>
          <w:color w:val="auto"/>
          <w:sz w:val="24"/>
          <w:szCs w:val="24"/>
        </w:rPr>
        <w:t>You can add a layer variable to create a three-way table in which categories of the row and column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3D4DF2">
        <w:rPr>
          <w:rFonts w:ascii="Segoe UI" w:hAnsi="Segoe UI" w:cs="Segoe UI"/>
          <w:color w:val="auto"/>
          <w:sz w:val="24"/>
          <w:szCs w:val="24"/>
        </w:rPr>
        <w:t>variables are further subdivided by categories of the layer variable.</w:t>
      </w:r>
    </w:p>
    <w:p w:rsidR="003D4DF2" w:rsidRDefault="003D4DF2" w:rsidP="003D4DF2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3D4DF2">
        <w:rPr>
          <w:rFonts w:ascii="Segoe UI" w:hAnsi="Segoe UI" w:cs="Segoe UI"/>
          <w:color w:val="auto"/>
          <w:sz w:val="24"/>
          <w:szCs w:val="24"/>
        </w:rPr>
        <w:t>This variable is sometimes referred to as the control variable because it may reveal how the relationship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3D4DF2">
        <w:rPr>
          <w:rFonts w:ascii="Segoe UI" w:hAnsi="Segoe UI" w:cs="Segoe UI"/>
          <w:color w:val="auto"/>
          <w:sz w:val="24"/>
          <w:szCs w:val="24"/>
        </w:rPr>
        <w:t>between the row and column variables changes when you "control" for the effects of the third variable.</w:t>
      </w:r>
    </w:p>
    <w:p w:rsidR="003D4DF2" w:rsidRDefault="003D4DF2" w:rsidP="003D4DF2">
      <w:pPr>
        <w:widowControl/>
        <w:rPr>
          <w:rFonts w:ascii="Segoe UI" w:hAnsi="Segoe UI" w:cs="Segoe UI"/>
          <w:color w:val="auto"/>
          <w:sz w:val="24"/>
          <w:szCs w:val="24"/>
        </w:rPr>
      </w:pPr>
    </w:p>
    <w:p w:rsidR="003D4DF2" w:rsidRDefault="003D4DF2" w:rsidP="003D4DF2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3D4DF2">
        <w:rPr>
          <w:rFonts w:ascii="Segoe UI" w:hAnsi="Segoe UI" w:cs="Segoe UI"/>
          <w:color w:val="auto"/>
          <w:sz w:val="24"/>
          <w:szCs w:val="24"/>
        </w:rPr>
        <w:t xml:space="preserve">But if you look at the table of </w:t>
      </w:r>
      <w:r w:rsidRPr="003D4DF2">
        <w:rPr>
          <w:rFonts w:ascii="Segoe UI" w:hAnsi="Segoe UI" w:cs="Segoe UI"/>
          <w:b/>
          <w:color w:val="auto"/>
          <w:sz w:val="24"/>
          <w:szCs w:val="24"/>
        </w:rPr>
        <w:t>chi-square</w:t>
      </w:r>
      <w:r w:rsidRPr="003D4DF2">
        <w:rPr>
          <w:rFonts w:ascii="Segoe UI" w:hAnsi="Segoe UI" w:cs="Segoe UI"/>
          <w:color w:val="auto"/>
          <w:sz w:val="24"/>
          <w:szCs w:val="24"/>
        </w:rPr>
        <w:t xml:space="preserve"> statistics, you can easily see that in all but one of the education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3D4DF2">
        <w:rPr>
          <w:rFonts w:ascii="Segoe UI" w:hAnsi="Segoe UI" w:cs="Segoe UI"/>
          <w:color w:val="auto"/>
          <w:sz w:val="24"/>
          <w:szCs w:val="24"/>
        </w:rPr>
        <w:t xml:space="preserve">categories, the apparent relationship between income and PDA ownership disappears (typically, </w:t>
      </w:r>
      <w:r w:rsidRPr="003D4DF2">
        <w:rPr>
          <w:rFonts w:ascii="Segoe UI" w:hAnsi="Segoe UI" w:cs="Segoe UI"/>
          <w:color w:val="auto"/>
          <w:sz w:val="24"/>
          <w:szCs w:val="24"/>
        </w:rPr>
        <w:t>a significance</w:t>
      </w:r>
      <w:r w:rsidRPr="003D4DF2">
        <w:rPr>
          <w:rFonts w:ascii="Segoe UI" w:hAnsi="Segoe UI" w:cs="Segoe UI"/>
          <w:color w:val="auto"/>
          <w:sz w:val="24"/>
          <w:szCs w:val="24"/>
        </w:rPr>
        <w:t xml:space="preserve"> value less than 0.05 is considered "significant"</w:t>
      </w:r>
      <w:r w:rsidRPr="003D4DF2">
        <w:rPr>
          <w:rFonts w:ascii="Segoe UI" w:hAnsi="Segoe UI" w:cs="Segoe UI"/>
          <w:color w:val="auto"/>
          <w:sz w:val="24"/>
          <w:szCs w:val="24"/>
        </w:rPr>
        <w:t>). This</w:t>
      </w:r>
      <w:r w:rsidRPr="003D4DF2">
        <w:rPr>
          <w:rFonts w:ascii="Segoe UI" w:hAnsi="Segoe UI" w:cs="Segoe UI"/>
          <w:color w:val="auto"/>
          <w:sz w:val="24"/>
          <w:szCs w:val="24"/>
        </w:rPr>
        <w:t xml:space="preserve"> suggests that the apparent relationship between income and PDA ownership is merely an artifact of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r w:rsidRPr="003D4DF2">
        <w:rPr>
          <w:rFonts w:ascii="Segoe UI" w:hAnsi="Segoe UI" w:cs="Segoe UI"/>
          <w:color w:val="auto"/>
          <w:sz w:val="24"/>
          <w:szCs w:val="24"/>
        </w:rPr>
        <w:t>the underlying relationship between education level and PDA ownership</w:t>
      </w:r>
    </w:p>
    <w:p w:rsidR="003D4DF2" w:rsidRDefault="003D4DF2" w:rsidP="003D4DF2">
      <w:pPr>
        <w:widowControl/>
        <w:rPr>
          <w:rFonts w:ascii="Segoe UI" w:hAnsi="Segoe UI" w:cs="Segoe UI"/>
          <w:color w:val="auto"/>
          <w:sz w:val="24"/>
          <w:szCs w:val="24"/>
        </w:rPr>
      </w:pPr>
    </w:p>
    <w:p w:rsidR="003D4DF2" w:rsidRDefault="00B660BC" w:rsidP="003D4DF2">
      <w:pPr>
        <w:widowControl/>
        <w:rPr>
          <w:rFonts w:ascii="Segoe UI" w:hAnsi="Segoe UI" w:cs="Segoe UI"/>
          <w:b/>
          <w:color w:val="auto"/>
          <w:sz w:val="24"/>
          <w:szCs w:val="24"/>
          <w:u w:val="single"/>
        </w:rPr>
      </w:pPr>
      <w:r w:rsidRPr="00B660BC">
        <w:rPr>
          <w:rFonts w:ascii="Segoe UI" w:hAnsi="Segoe UI" w:cs="Segoe UI"/>
          <w:b/>
          <w:color w:val="auto"/>
          <w:sz w:val="24"/>
          <w:szCs w:val="24"/>
          <w:u w:val="single"/>
        </w:rPr>
        <w:t>OUTCOME</w:t>
      </w:r>
    </w:p>
    <w:p w:rsidR="00B660BC" w:rsidRDefault="00B660BC" w:rsidP="003D4DF2">
      <w:pPr>
        <w:widowControl/>
        <w:rPr>
          <w:rFonts w:ascii="Segoe UI" w:hAnsi="Segoe UI" w:cs="Segoe UI"/>
          <w:b/>
          <w:color w:val="auto"/>
          <w:sz w:val="24"/>
          <w:szCs w:val="24"/>
          <w:u w:val="single"/>
        </w:rPr>
      </w:pPr>
    </w:p>
    <w:p w:rsidR="00B660BC" w:rsidRPr="00B660BC" w:rsidRDefault="00B660BC" w:rsidP="00B660BC">
      <w:pPr>
        <w:widowControl/>
        <w:rPr>
          <w:rFonts w:ascii="Segoe UI" w:hAnsi="Segoe UI" w:cs="Segoe UI"/>
          <w:color w:val="auto"/>
          <w:sz w:val="24"/>
          <w:szCs w:val="24"/>
        </w:rPr>
      </w:pPr>
      <w:r w:rsidRPr="00B660BC">
        <w:rPr>
          <w:rFonts w:ascii="Segoe UI" w:hAnsi="Segoe UI" w:cs="Segoe UI"/>
          <w:color w:val="auto"/>
          <w:sz w:val="24"/>
          <w:szCs w:val="24"/>
        </w:rPr>
        <w:t>Since income tends to rise as education rises, apparent relationships between income and other</w:t>
      </w:r>
      <w:r>
        <w:rPr>
          <w:rFonts w:ascii="Segoe UI" w:hAnsi="Segoe UI" w:cs="Segoe UI"/>
          <w:color w:val="auto"/>
          <w:sz w:val="24"/>
          <w:szCs w:val="24"/>
        </w:rPr>
        <w:t xml:space="preserve"> </w:t>
      </w:r>
      <w:bookmarkStart w:id="0" w:name="_GoBack"/>
      <w:bookmarkEnd w:id="0"/>
      <w:r w:rsidRPr="00B660BC">
        <w:rPr>
          <w:rFonts w:ascii="Segoe UI" w:hAnsi="Segoe UI" w:cs="Segoe UI"/>
          <w:color w:val="auto"/>
          <w:sz w:val="24"/>
          <w:szCs w:val="24"/>
        </w:rPr>
        <w:t>variables may actually be the result of differences in education.</w:t>
      </w:r>
    </w:p>
    <w:sectPr w:rsidR="00B660BC" w:rsidRPr="00B660BC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0B"/>
    <w:rsid w:val="003D4DF2"/>
    <w:rsid w:val="00B660BC"/>
    <w:rsid w:val="00F4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6A426"/>
  <w14:defaultImageDpi w14:val="0"/>
  <w15:docId w15:val="{DDE570DE-7E93-4AAE-A30C-EEA9631D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2022-10-24T22:44:00Z</dcterms:created>
  <dcterms:modified xsi:type="dcterms:W3CDTF">2022-10-24T22:50:00Z</dcterms:modified>
</cp:coreProperties>
</file>