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left"/>
      </w:pPr>
      <w:r>
        <w:rPr>
          <w:rFonts w:ascii="Calibri" w:cs="Calibri" w:eastAsia="Calibri" w:hAnsi="Calibri"/>
          <w:b/>
          <w:bCs/>
          <w:color w:val="0F7A4D"/>
          <w:spacing w:val="40"/>
          <w:sz w:val="28"/>
          <w:szCs w:val="28"/>
        </w:rPr>
        <w:t xml:space="preserve">THE RETAIL ORACLE</w:t>
      </w:r>
    </w:p>
    <w:p>
      <w:pPr>
        <w:spacing w:after="60" w:before="120"/>
        <w:jc w:val="left"/>
      </w:pPr>
      <w:r>
        <w:rPr>
          <w:rFonts w:ascii="Calibri" w:cs="Calibri" w:eastAsia="Calibri" w:hAnsi="Calibri"/>
          <w:b/>
          <w:bCs/>
          <w:color w:val="1A1F2E"/>
          <w:sz w:val="64"/>
          <w:szCs w:val="64"/>
        </w:rPr>
        <w:t xml:space="preserve">Predictive Cart Intelligence</w:t>
      </w:r>
    </w:p>
    <w:p>
      <w:pPr>
        <w:spacing w:after="240" w:before="0"/>
        <w:jc w:val="left"/>
      </w:pPr>
      <w:r>
        <w:rPr>
          <w:rFonts w:ascii="Calibri" w:cs="Calibri" w:eastAsia="Calibri" w:hAnsi="Calibri"/>
          <w:i/>
          <w:iCs/>
          <w:color w:val="7A8C99"/>
          <w:sz w:val="32"/>
          <w:szCs w:val="32"/>
        </w:rPr>
        <w:t xml:space="preserve">Anticipating consumer needs through sequential behavior</w:t>
      </w:r>
    </w:p>
    <w:p>
      <w:pPr>
        <w:pBdr>
          <w:bottom w:val="single" w:color="0F7A4D" w:sz="24" w:space="6"/>
        </w:pBdr>
        <w:spacing w:after="360" w:before="120"/>
      </w:pPr>
      <w:r>
        <w:t xml:space="preserve"/>
      </w:r>
    </w:p>
    <w:p>
      <w:pPr>
        <w:spacing w:after="120" w:before="120"/>
      </w:pPr>
      <w:r>
        <w:rPr>
          <w:rFonts w:ascii="Calibri" w:cs="Calibri" w:eastAsia="Calibri" w:hAnsi="Calibri"/>
          <w:b/>
          <w:bCs/>
          <w:color w:val="1A1F2E"/>
          <w:sz w:val="36"/>
          <w:szCs w:val="36"/>
        </w:rPr>
        <w:t xml:space="preserve">Business Understanding</w:t>
      </w:r>
    </w:p>
    <w:p>
      <w:pPr>
        <w:spacing w:after="480" w:before="0"/>
      </w:pPr>
      <w:r>
        <w:rPr>
          <w:rFonts w:ascii="Calibri" w:cs="Calibri" w:eastAsia="Calibri" w:hAnsi="Calibri"/>
          <w:i/>
          <w:iCs/>
          <w:color w:val="7A8C99"/>
          <w:sz w:val="24"/>
          <w:szCs w:val="24"/>
        </w:rPr>
        <w:t xml:space="preserve">Foundational chapter — the analytical case for data-driven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INDUSTRY</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Online Grocery · FMCG · E-Commerce</w:t>
            </w:r>
          </w:p>
        </w:tc>
      </w:tr>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DATASET</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Instacart Market Basket Analysis — 3.4M orders, 200K customers, 50K products</w:t>
            </w:r>
          </w:p>
        </w:tc>
      </w:tr>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SPONSOR</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Futurense AI Clinic</w:t>
            </w:r>
          </w:p>
        </w:tc>
      </w:tr>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FORMAT</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MVP / Proof of Concept · 2 Sprints · 10 Working Days</w:t>
            </w:r>
          </w:p>
        </w:tc>
      </w:tr>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AUDIENCE</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Executive sponsors, merchandising &amp; marketing leadership, academic evaluators</w:t>
            </w:r>
          </w:p>
        </w:tc>
      </w:tr>
      <w:tr>
        <w:tc>
          <w:tcPr>
            <w:tcW w:type="dxa" w:w="2600"/>
            <w:tcBorders>
              <w:top w:val="none" w:color="FFFFFF" w:sz="0"/>
              <w:left w:val="none" w:color="FFFFFF" w:sz="0"/>
              <w:bottom w:val="single" w:color="DDDDDD" w:sz="4"/>
              <w:right w:val="none" w:color="FFFFFF" w:sz="0"/>
            </w:tcBorders>
            <w:tcMar>
              <w:top w:type="dxa" w:w="120"/>
              <w:left w:type="dxa" w:w="0"/>
              <w:bottom w:type="dxa" w:w="120"/>
              <w:right w:type="dxa" w:w="80"/>
            </w:tcMar>
          </w:tcPr>
          <w:p>
            <w:r>
              <w:rPr>
                <w:rFonts w:ascii="Calibri" w:cs="Calibri" w:eastAsia="Calibri" w:hAnsi="Calibri"/>
                <w:b/>
                <w:bCs/>
                <w:color w:val="0F7A4D"/>
                <w:spacing w:val="30"/>
                <w:sz w:val="20"/>
                <w:szCs w:val="20"/>
              </w:rPr>
              <w:t xml:space="preserve">DATE</w:t>
            </w:r>
          </w:p>
        </w:tc>
        <w:tc>
          <w:tcPr>
            <w:tcW w:type="dxa" w:w="6760"/>
            <w:tcBorders>
              <w:top w:val="none" w:color="FFFFFF" w:sz="0"/>
              <w:left w:val="none" w:color="FFFFFF" w:sz="0"/>
              <w:bottom w:val="single" w:color="DDDDDD" w:sz="4"/>
              <w:right w:val="none" w:color="FFFFFF" w:sz="0"/>
            </w:tcBorders>
            <w:tcMar>
              <w:top w:type="dxa" w:w="120"/>
              <w:left w:type="dxa" w:w="0"/>
              <w:bottom w:type="dxa" w:w="120"/>
              <w:right w:type="dxa" w:w="0"/>
            </w:tcMar>
          </w:tcPr>
          <w:p>
            <w:r>
              <w:rPr>
                <w:rFonts w:ascii="Calibri" w:cs="Calibri" w:eastAsia="Calibri" w:hAnsi="Calibri"/>
                <w:color w:val="262B35"/>
                <w:sz w:val="22"/>
                <w:szCs w:val="22"/>
              </w:rPr>
              <w:t xml:space="preserve">April 2026</w:t>
            </w:r>
          </w:p>
        </w:tc>
      </w:tr>
    </w:tbl>
    <w:p>
      <w:r>
        <w:br w:type="page"/>
      </w:r>
    </w:p>
    <w:p>
      <w:pPr>
        <w:pStyle w:val="Heading1"/>
        <w:spacing w:after="180" w:before="360"/>
      </w:pPr>
      <w:r>
        <w:rPr>
          <w:rFonts w:ascii="Calibri" w:cs="Calibri" w:eastAsia="Calibri" w:hAnsi="Calibri"/>
          <w:b/>
          <w:bCs/>
          <w:color w:val="1A1F2E"/>
          <w:sz w:val="32"/>
          <w:szCs w:val="32"/>
        </w:rPr>
        <w:t xml:space="preserve">Table of Contents</w:t>
      </w:r>
    </w:p>
    <w:p>
      <w:pPr>
        <w:spacing w:after="240" w:before="120"/>
      </w:pPr>
      <w:r>
        <w:rPr>
          <w:rFonts w:ascii="Calibri" w:cs="Calibri" w:eastAsia="Calibri" w:hAnsi="Calibri"/>
          <w:i/>
          <w:iCs/>
          <w:color w:val="7A8C99"/>
          <w:sz w:val="22"/>
          <w:szCs w:val="22"/>
        </w:rPr>
        <w:t xml:space="preserve">Navigate the argument.</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1A1F2E"/>
          <w:sz w:val="32"/>
          <w:szCs w:val="32"/>
        </w:rPr>
        <w:t xml:space="preserve">Executive Summary</w:t>
      </w:r>
    </w:p>
    <w:p>
      <w:pPr>
        <w:spacing w:after="160" w:before="60" w:line="320"/>
        <w:jc w:val="both"/>
      </w:pPr>
      <w:r>
        <w:rPr>
          <w:rFonts w:ascii="Calibri" w:cs="Calibri" w:eastAsia="Calibri" w:hAnsi="Calibri"/>
          <w:color w:val="262B35"/>
          <w:sz w:val="22"/>
          <w:szCs w:val="22"/>
        </w:rPr>
        <w:t xml:space="preserve">Online grocery is a deceptively difficult business. The basket is small, the margin is thin, and the customer has roughly fifteen competing apps within a thumb-stroke. What separates a platform that scales profitably from one that burns venture capital is not logistics alone — it is the quality of anticipation. Platforms that understand what a household is about to need, before the household itself has opened the app, win the next order. Everyone else pays to acquire the same customer twice.</w:t>
      </w:r>
    </w:p>
    <w:p>
      <w:pPr>
        <w:spacing w:after="160" w:before="60" w:line="320"/>
        <w:jc w:val="both"/>
      </w:pPr>
      <w:r>
        <w:rPr>
          <w:rFonts w:ascii="Calibri" w:cs="Calibri" w:eastAsia="Calibri" w:hAnsi="Calibri"/>
          <w:color w:val="262B35"/>
          <w:sz w:val="22"/>
          <w:szCs w:val="22"/>
        </w:rPr>
        <w:t xml:space="preserve">Instacart, the operator behind the dataset at the centre of this project, booked </w:t>
      </w:r>
      <w:r>
        <w:rPr>
          <w:rFonts w:ascii="Calibri" w:cs="Calibri" w:eastAsia="Calibri" w:hAnsi="Calibri"/>
          <w:b/>
          <w:bCs/>
          <w:color w:val="262B35"/>
          <w:sz w:val="22"/>
          <w:szCs w:val="22"/>
        </w:rPr>
        <w:t xml:space="preserve">$33.5 billion in Gross Transaction Value</w:t>
      </w:r>
      <w:r>
        <w:rPr>
          <w:rFonts w:ascii="Calibri" w:cs="Calibri" w:eastAsia="Calibri" w:hAnsi="Calibri"/>
          <w:color w:val="262B35"/>
          <w:sz w:val="22"/>
          <w:szCs w:val="22"/>
        </w:rPr>
        <w:t xml:space="preserve"> and </w:t>
      </w:r>
      <w:r>
        <w:rPr>
          <w:rFonts w:ascii="Calibri" w:cs="Calibri" w:eastAsia="Calibri" w:hAnsi="Calibri"/>
          <w:b/>
          <w:bCs/>
          <w:color w:val="262B35"/>
          <w:sz w:val="22"/>
          <w:szCs w:val="22"/>
        </w:rPr>
        <w:t xml:space="preserve">294 million orders across roughly 14.4 million monthly active customers</w:t>
      </w:r>
      <w:r>
        <w:rPr>
          <w:rFonts w:ascii="Calibri" w:cs="Calibri" w:eastAsia="Calibri" w:hAnsi="Calibri"/>
          <w:color w:val="262B35"/>
          <w:sz w:val="22"/>
          <w:szCs w:val="22"/>
        </w:rPr>
        <w:t xml:space="preserve"> in fiscal 2024, and turned a reported </w:t>
      </w:r>
      <w:r>
        <w:rPr>
          <w:rFonts w:ascii="Calibri" w:cs="Calibri" w:eastAsia="Calibri" w:hAnsi="Calibri"/>
          <w:b/>
          <w:bCs/>
          <w:color w:val="262B35"/>
          <w:sz w:val="22"/>
          <w:szCs w:val="22"/>
        </w:rPr>
        <w:t xml:space="preserve">$457 million net profit</w:t>
      </w:r>
      <w:r>
        <w:rPr>
          <w:rFonts w:ascii="Calibri" w:cs="Calibri" w:eastAsia="Calibri" w:hAnsi="Calibri"/>
          <w:color w:val="262B35"/>
          <w:sz w:val="22"/>
          <w:szCs w:val="22"/>
        </w:rPr>
        <w:t xml:space="preserve"> after a heavy loss the year prior</w:t>
      </w:r>
      <w:r>
        <w:rPr>
          <w:rStyle w:val="FootnoteReference"/>
        </w:rPr>
        <w:footnoteReference w:id="1"/>
      </w:r>
      <w:r>
        <w:rPr>
          <w:rFonts w:ascii="Calibri" w:cs="Calibri" w:eastAsia="Calibri" w:hAnsi="Calibri"/>
          <w:color w:val="262B35"/>
          <w:sz w:val="22"/>
          <w:szCs w:val="22"/>
        </w:rPr>
        <w:t xml:space="preserve">. Against that scale, even a single percentage point of reorder-rate improvement translates into tens of millions of dollars of incremental basket revenue and advertising yield. A proportional basket uplift, achieved through better recommendations at the moment a returning customer opens the cart, compounds across every subsequent month of the customer’s life on the platform.</w:t>
      </w:r>
    </w:p>
    <w:p>
      <w:pPr>
        <w:spacing w:after="160" w:before="60" w:line="320"/>
        <w:jc w:val="both"/>
      </w:pPr>
      <w:r>
        <w:rPr>
          <w:rFonts w:ascii="Calibri" w:cs="Calibri" w:eastAsia="Calibri" w:hAnsi="Calibri"/>
          <w:color w:val="262B35"/>
          <w:sz w:val="22"/>
          <w:szCs w:val="22"/>
        </w:rPr>
        <w:t xml:space="preserve">This document is the Business Understanding chapter of the Retail Oracle engagement. It does not train a model, draw a curve, or benchmark an algorithm. It does something more important, and more often skipped: it establishes why any of that work is worth doing, who will act on it, and what the organisation should hold the analytics team accountable for delivering. Everything that follows in later chapters — the data profiling, the feature engineering, the gradient-boosted reorder classifier, the basket-affinity analysis — should trace back to a specific business question posed here, and be judged against the success criteria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D4EDE0"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Core thesis</w:t>
            </w:r>
          </w:p>
          <w:p>
            <w:pPr>
              <w:spacing w:after="0" w:before="0" w:line="300"/>
              <w:jc w:val="left"/>
            </w:pPr>
            <w:r>
              <w:rPr>
                <w:rFonts w:ascii="Calibri" w:cs="Calibri" w:eastAsia="Calibri" w:hAnsi="Calibri"/>
                <w:color w:val="262B35"/>
                <w:sz w:val="21"/>
                <w:szCs w:val="21"/>
              </w:rPr>
              <w:t xml:space="preserve">The Instacart transaction archive is dense enough to let us move grocery merchandising from calendar-driven promotion to behaviour-driven anticipation. The commercial prize is retention — and in a category where acquiring a new customer costs five to twenty-five times what it costs to keep an existing one, retention is the only growth engine that actually compounds.</w:t>
            </w:r>
          </w:p>
        </w:tc>
      </w:tr>
    </w:tbl>
    <w:p>
      <w:pPr>
        <w:pStyle w:val="Heading1"/>
        <w:spacing w:after="180" w:before="360"/>
      </w:pPr>
      <w:r>
        <w:rPr>
          <w:rFonts w:ascii="Calibri" w:cs="Calibri" w:eastAsia="Calibri" w:hAnsi="Calibri"/>
          <w:b/>
          <w:bCs/>
          <w:color w:val="1A1F2E"/>
          <w:sz w:val="32"/>
          <w:szCs w:val="32"/>
        </w:rPr>
        <w:t xml:space="preserve">1. The Business We Are Solving For</w:t>
      </w:r>
    </w:p>
    <w:p>
      <w:pPr>
        <w:pStyle w:val="Heading2"/>
        <w:spacing w:after="120" w:before="280"/>
      </w:pPr>
      <w:r>
        <w:rPr>
          <w:rFonts w:ascii="Calibri" w:cs="Calibri" w:eastAsia="Calibri" w:hAnsi="Calibri"/>
          <w:b/>
          <w:bCs/>
          <w:color w:val="1A1F2E"/>
          <w:sz w:val="26"/>
          <w:szCs w:val="26"/>
        </w:rPr>
        <w:t xml:space="preserve">1.1  Why online grocery is unforgiving</w:t>
      </w:r>
    </w:p>
    <w:p>
      <w:pPr>
        <w:spacing w:after="160" w:before="60" w:line="320"/>
        <w:jc w:val="both"/>
      </w:pPr>
      <w:r>
        <w:rPr>
          <w:rFonts w:ascii="Calibri" w:cs="Calibri" w:eastAsia="Calibri" w:hAnsi="Calibri"/>
          <w:color w:val="262B35"/>
          <w:sz w:val="22"/>
          <w:szCs w:val="22"/>
        </w:rPr>
        <w:t xml:space="preserve">Grocery is the largest retail category in the world and, until recently, the most stubbornly offline. COVID changed that in a twelve-month convulsion. Online penetration of U.S. grocery, which had been drifting upwards at single digits for a decade, roughly doubled, and the habits it built proved sticky. Analysts now describe the U.S. grocery market as a $1.5 trillion opportunity with online share around 10% and growing at roughly 11% annually — a long runway of category share to be taken by whoever executes best.</w:t>
      </w:r>
    </w:p>
    <w:p>
      <w:pPr>
        <w:spacing w:after="160" w:before="60" w:line="320"/>
        <w:jc w:val="both"/>
      </w:pPr>
      <w:r>
        <w:rPr>
          <w:rFonts w:ascii="Calibri" w:cs="Calibri" w:eastAsia="Calibri" w:hAnsi="Calibri"/>
          <w:color w:val="262B35"/>
          <w:sz w:val="22"/>
          <w:szCs w:val="22"/>
        </w:rPr>
        <w:t xml:space="preserve">The economics, however, remain brutal. Grocery is a low-margin, high-frequency business. Instacart generates headline revenue through a transaction take-rate of roughly 5 to 8% of basket value, a modest set of consumer fees, and, increasingly, a high-margin advertising business funded by CPG brands that want placement in front of purchase-ready shoppers</w:t>
      </w:r>
      <w:r>
        <w:rPr>
          <w:rStyle w:val="FootnoteReference"/>
        </w:rPr>
        <w:footnoteReference w:id="2"/>
      </w:r>
      <w:r>
        <w:rPr>
          <w:rFonts w:ascii="Calibri" w:cs="Calibri" w:eastAsia="Calibri" w:hAnsi="Calibri"/>
          <w:color w:val="262B35"/>
          <w:sz w:val="22"/>
          <w:szCs w:val="22"/>
        </w:rPr>
        <w:t xml:space="preserve">. The company’s 2024 adjusted EBITDA margin of roughly 26% of revenue looks healthy only because the advertising line has scaled; the underlying delivery economics are tight enough that operational missteps are quickly visible in the P&amp;L.</w:t>
      </w:r>
    </w:p>
    <w:p>
      <w:pPr>
        <w:spacing w:after="160" w:before="60" w:line="320"/>
        <w:jc w:val="both"/>
      </w:pPr>
      <w:r>
        <w:rPr>
          <w:rFonts w:ascii="Calibri" w:cs="Calibri" w:eastAsia="Calibri" w:hAnsi="Calibri"/>
          <w:color w:val="262B35"/>
          <w:sz w:val="22"/>
          <w:szCs w:val="22"/>
        </w:rPr>
        <w:t xml:space="preserve">Customer acquisition costs in e-commerce have risen sharply — industry analyses now estimate that brands lose an average of roughly $29 on each newly acquired customer once paid media and returns are accounted for, compared with a $9 figure a decade ago</w:t>
      </w:r>
      <w:r>
        <w:rPr>
          <w:rStyle w:val="FootnoteReference"/>
        </w:rPr>
        <w:footnoteReference w:id="3"/>
      </w:r>
      <w:r>
        <w:rPr>
          <w:rFonts w:ascii="Calibri" w:cs="Calibri" w:eastAsia="Calibri" w:hAnsi="Calibri"/>
          <w:color w:val="262B35"/>
          <w:sz w:val="22"/>
          <w:szCs w:val="22"/>
        </w:rPr>
        <w:t xml:space="preserve">. Food and beverage is at the lower end of the CAC distribution, but the offsetting reality is that grocery baskets are small. A platform cannot afford to carry unprofitable new customers for long, and it cannot buy its way out of weak retention. This is the strategic cliff edge on which the entire project sits.</w:t>
      </w:r>
    </w:p>
    <w:p>
      <w:pPr>
        <w:pStyle w:val="Heading2"/>
        <w:spacing w:after="120" w:before="280"/>
      </w:pPr>
      <w:r>
        <w:rPr>
          <w:rFonts w:ascii="Calibri" w:cs="Calibri" w:eastAsia="Calibri" w:hAnsi="Calibri"/>
          <w:b/>
          <w:bCs/>
          <w:color w:val="1A1F2E"/>
          <w:sz w:val="26"/>
          <w:szCs w:val="26"/>
        </w:rPr>
        <w:t xml:space="preserve">1.2  The competitive lens</w:t>
      </w:r>
    </w:p>
    <w:p>
      <w:pPr>
        <w:spacing w:after="160" w:before="60" w:line="320"/>
        <w:jc w:val="both"/>
      </w:pPr>
      <w:r>
        <w:rPr>
          <w:rFonts w:ascii="Calibri" w:cs="Calibri" w:eastAsia="Calibri" w:hAnsi="Calibri"/>
          <w:color w:val="262B35"/>
          <w:sz w:val="22"/>
          <w:szCs w:val="22"/>
        </w:rPr>
        <w:t xml:space="preserve">The online grocery field in North America is a consolidating oligopoly. Walmart leads on scale and own-network economics, Amazon holds a structural advantage through Prime and Fresh, and Instacart has carved out leadership in third-party grocery delivery with roughly 29% share of the third-party segment. The platforms compete on three simultaneous fronts: speed of fulfilment, breadth of assortment, and — increasingly — the quality of the personalised experience. The first two are capital expenditures. The third is an analytics capability.</w:t>
      </w:r>
    </w:p>
    <w:p>
      <w:pPr>
        <w:spacing w:after="160" w:before="60" w:line="320"/>
        <w:jc w:val="both"/>
      </w:pPr>
      <w:r>
        <w:rPr>
          <w:rFonts w:ascii="Calibri" w:cs="Calibri" w:eastAsia="Calibri" w:hAnsi="Calibri"/>
          <w:color w:val="262B35"/>
          <w:sz w:val="22"/>
          <w:szCs w:val="22"/>
        </w:rPr>
        <w:t xml:space="preserve">Within that capability, the two levers that move the needle are reorder prediction and basket building. Reorder prediction is what fills the "buy it again" rail with products the customer actually intends to repurchase, shrinking the time from app-open to checkout. Basket building is the combinatorial art of suggesting what else belongs in the cart — complements that genuinely help the shopper, not generic promoted items that annoy them. Both levers depend, ultimately, on the same question: can we infer, from past orders, what this household is going to want this week?</w:t>
      </w:r>
    </w:p>
    <w:p>
      <w:pPr>
        <w:pStyle w:val="Heading2"/>
        <w:spacing w:after="120" w:before="280"/>
      </w:pPr>
      <w:r>
        <w:rPr>
          <w:rFonts w:ascii="Calibri" w:cs="Calibri" w:eastAsia="Calibri" w:hAnsi="Calibri"/>
          <w:b/>
          <w:bCs/>
          <w:color w:val="1A1F2E"/>
          <w:sz w:val="26"/>
          <w:szCs w:val="26"/>
        </w:rPr>
        <w:t xml:space="preserve">1.3  The business friction</w:t>
      </w:r>
    </w:p>
    <w:p>
      <w:pPr>
        <w:spacing w:after="160" w:before="60" w:line="320"/>
        <w:jc w:val="both"/>
      </w:pPr>
      <w:r>
        <w:rPr>
          <w:rFonts w:ascii="Calibri" w:cs="Calibri" w:eastAsia="Calibri" w:hAnsi="Calibri"/>
          <w:color w:val="262B35"/>
          <w:sz w:val="22"/>
          <w:szCs w:val="22"/>
        </w:rPr>
        <w:t xml:space="preserve">Framed operationally, the friction plays out in three places. On the demand side, the platform’s supply chain is optimised for average demand rather than actual demand; a Tuesday spike in organic bananas leaves a warehouse short by noon, and the shopper who cannot find their staple switches to a competitor for the rest of the order. On the discovery side, a returning customer opening the app to a generic homepage is a wasted opportunity — every second between app-open and checkout dampens conversion, and every irrelevant recommendation erodes trust. On the retention side, a customer who experiences two bad orders in a row rarely comes back; in a category where a new customer costs five to twenty-five times what a retained one costs to serve, that attrition is lethal to the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E8F1FA"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The core business problem, stated plainly</w:t>
            </w:r>
          </w:p>
          <w:p>
            <w:pPr>
              <w:spacing w:after="0" w:before="0" w:line="300"/>
              <w:jc w:val="left"/>
            </w:pPr>
            <w:r>
              <w:rPr>
                <w:rFonts w:ascii="Calibri" w:cs="Calibri" w:eastAsia="Calibri" w:hAnsi="Calibri"/>
                <w:color w:val="262B35"/>
                <w:sz w:val="21"/>
                <w:szCs w:val="21"/>
              </w:rPr>
              <w:t xml:space="preserve">Instacart sits on the behavioural trail of millions of households but surfaces that intelligence unevenly. The commercial question is whether we can transform that historical transaction data into a reliable, timely, customer-specific prediction of the next order — delivered at a grain and latency that the recommendation engine, the supply chain, and the marketing team can all act on.</w:t>
            </w:r>
          </w:p>
        </w:tc>
      </w:tr>
    </w:tbl>
    <w:p>
      <w:pPr>
        <w:pStyle w:val="Heading1"/>
        <w:spacing w:after="180" w:before="360"/>
      </w:pPr>
      <w:r>
        <w:rPr>
          <w:rFonts w:ascii="Calibri" w:cs="Calibri" w:eastAsia="Calibri" w:hAnsi="Calibri"/>
          <w:b/>
          <w:bCs/>
          <w:color w:val="1A1F2E"/>
          <w:sz w:val="32"/>
          <w:szCs w:val="32"/>
        </w:rPr>
        <w:t xml:space="preserve">2. Business Objectives</w:t>
      </w:r>
    </w:p>
    <w:p>
      <w:pPr>
        <w:spacing w:after="160" w:before="60" w:line="320"/>
        <w:jc w:val="both"/>
      </w:pPr>
      <w:r>
        <w:rPr>
          <w:rFonts w:ascii="Calibri" w:cs="Calibri" w:eastAsia="Calibri" w:hAnsi="Calibri"/>
          <w:color w:val="262B35"/>
          <w:sz w:val="22"/>
          <w:szCs w:val="22"/>
        </w:rPr>
        <w:t xml:space="preserve">A Business Understanding chapter that stops at "improve customer experience" is a chapter that has not done its job. The objectives below are deliberately narrow enough to be measured, broad enough to be strategic, and tied to levers the operating business actually controls.</w:t>
      </w:r>
    </w:p>
    <w:p>
      <w:pPr>
        <w:pStyle w:val="Heading2"/>
        <w:spacing w:after="120" w:before="280"/>
      </w:pPr>
      <w:r>
        <w:rPr>
          <w:rFonts w:ascii="Calibri" w:cs="Calibri" w:eastAsia="Calibri" w:hAnsi="Calibri"/>
          <w:b/>
          <w:bCs/>
          <w:color w:val="1A1F2E"/>
          <w:sz w:val="26"/>
          <w:szCs w:val="26"/>
        </w:rPr>
        <w:t xml:space="preserve">2.1  The strategic shift</w:t>
      </w:r>
    </w:p>
    <w:p>
      <w:pPr>
        <w:spacing w:after="160" w:before="60" w:line="320"/>
        <w:jc w:val="both"/>
      </w:pPr>
      <w:r>
        <w:rPr>
          <w:rFonts w:ascii="Calibri" w:cs="Calibri" w:eastAsia="Calibri" w:hAnsi="Calibri"/>
          <w:color w:val="262B35"/>
          <w:sz w:val="22"/>
          <w:szCs w:val="22"/>
        </w:rPr>
        <w:t xml:space="preserve">The overarching shift we are asking the organisation to make is from generic, calendar-driven merchandising — weekly circular, category-of-the-month, volume-weighted homepage — to behaviour-driven, household-specific anticipation. Concretely, this means the merchandising and CRM teams move from asking "what are we pushing this week?" to asking "what is each household likely to want this week, and how do we earn the click?"</w:t>
      </w:r>
    </w:p>
    <w:p>
      <w:pPr>
        <w:pStyle w:val="Heading2"/>
        <w:spacing w:after="120" w:before="280"/>
      </w:pPr>
      <w:r>
        <w:rPr>
          <w:rFonts w:ascii="Calibri" w:cs="Calibri" w:eastAsia="Calibri" w:hAnsi="Calibri"/>
          <w:b/>
          <w:bCs/>
          <w:color w:val="1A1F2E"/>
          <w:sz w:val="26"/>
          <w:szCs w:val="26"/>
        </w:rPr>
        <w:t xml:space="preserve">2.2  Concrete sub-objectives</w:t>
      </w:r>
    </w:p>
    <w:p>
      <w:pPr>
        <w:spacing w:after="160" w:before="60" w:line="320"/>
        <w:jc w:val="both"/>
      </w:pPr>
      <w:r>
        <w:rPr>
          <w:rFonts w:ascii="Calibri" w:cs="Calibri" w:eastAsia="Calibri" w:hAnsi="Calibri"/>
          <w:color w:val="262B35"/>
          <w:sz w:val="22"/>
          <w:szCs w:val="22"/>
        </w:rPr>
        <w:t xml:space="preserve">Translated into things the analytics workstream must deliver, the objectives break cleanly into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Objective</w:t>
            </w:r>
          </w:p>
        </w:tc>
        <w:tc>
          <w:tcPr>
            <w:tcW w:type="dxa" w:w="636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What it looks like operationally</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Reorder prediction</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probability score for every (user, product) pair indicating how likely the user is to include that product in their next order, refreshed on a regular cadence and plugged into the "buy it again" rail and the email pre-cart.</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Basket affinity</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mapping of products that are genuinely complementary — not merely co-popular — so that the engine can recommend what the household actually needs next, rather than what everyone else bought.</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Customer segmentation</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behavioural segmentation that distinguishes routine weekly shoppers from stock-up families, organic-leaning households, and experimental tasters, each with its own merchandising treatment.</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Temporal awareness</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An understanding of when each household shops, and how inter-order gaps change through the life of the relationship, feeding both push-notification timing and inventory planning.</w:t>
            </w:r>
          </w:p>
        </w:tc>
      </w:tr>
    </w:tbl>
    <w:p>
      <w:pPr>
        <w:pStyle w:val="Heading2"/>
        <w:spacing w:after="120" w:before="280"/>
      </w:pPr>
      <w:r>
        <w:rPr>
          <w:rFonts w:ascii="Calibri" w:cs="Calibri" w:eastAsia="Calibri" w:hAnsi="Calibri"/>
          <w:b/>
          <w:bCs/>
          <w:color w:val="1A1F2E"/>
          <w:sz w:val="26"/>
          <w:szCs w:val="26"/>
        </w:rPr>
        <w:t xml:space="preserve">2.3  Why this matters financially</w:t>
      </w:r>
    </w:p>
    <w:p>
      <w:pPr>
        <w:spacing w:after="160" w:before="60" w:line="320"/>
        <w:jc w:val="both"/>
      </w:pPr>
      <w:r>
        <w:rPr>
          <w:rFonts w:ascii="Calibri" w:cs="Calibri" w:eastAsia="Calibri" w:hAnsi="Calibri"/>
          <w:color w:val="262B35"/>
          <w:sz w:val="22"/>
          <w:szCs w:val="22"/>
        </w:rPr>
        <w:t xml:space="preserve">Bain &amp; Company’s widely cited analysis of customer retention economics finds that a </w:t>
      </w:r>
      <w:r>
        <w:rPr>
          <w:rFonts w:ascii="Calibri" w:cs="Calibri" w:eastAsia="Calibri" w:hAnsi="Calibri"/>
          <w:b/>
          <w:bCs/>
          <w:color w:val="262B35"/>
          <w:sz w:val="22"/>
          <w:szCs w:val="22"/>
        </w:rPr>
        <w:t xml:space="preserve">five percentage-point increase in retention</w:t>
      </w:r>
      <w:r>
        <w:rPr>
          <w:rFonts w:ascii="Calibri" w:cs="Calibri" w:eastAsia="Calibri" w:hAnsi="Calibri"/>
          <w:color w:val="262B35"/>
          <w:sz w:val="22"/>
          <w:szCs w:val="22"/>
        </w:rPr>
        <w:t xml:space="preserve"> can lift profit by 25 to 95% depending on industry, because a retained customer requires no new acquisition spend, buys more over time, and is materially more receptive to adjacencies</w:t>
      </w:r>
      <w:r>
        <w:rPr>
          <w:rStyle w:val="FootnoteReference"/>
        </w:rPr>
        <w:footnoteReference w:id="4"/>
      </w:r>
      <w:r>
        <w:rPr>
          <w:rFonts w:ascii="Calibri" w:cs="Calibri" w:eastAsia="Calibri" w:hAnsi="Calibri"/>
          <w:color w:val="262B35"/>
          <w:sz w:val="22"/>
          <w:szCs w:val="22"/>
        </w:rPr>
        <w:t xml:space="preserve">. McKinsey’s research on personalisation finds similar magnitudes on the revenue side — 5 to 15% revenue uplift and 10 to 30% marketing efficiency improvement for organisations that get personalised experiences right</w:t>
      </w:r>
      <w:r>
        <w:rPr>
          <w:rStyle w:val="FootnoteReference"/>
        </w:rPr>
        <w:footnoteReference w:id="5"/>
      </w:r>
      <w:r>
        <w:rPr>
          <w:rFonts w:ascii="Calibri" w:cs="Calibri" w:eastAsia="Calibri" w:hAnsi="Calibri"/>
          <w:color w:val="262B35"/>
          <w:sz w:val="22"/>
          <w:szCs w:val="22"/>
        </w:rPr>
        <w:t xml:space="preserve">. These are industry benchmarks, not guaranteed outcomes, but they are the multiples that make the business case for this project defensible at the executive level.</w:t>
      </w:r>
    </w:p>
    <w:p>
      <w:pPr>
        <w:pStyle w:val="Heading1"/>
        <w:spacing w:after="180" w:before="360"/>
      </w:pPr>
      <w:r>
        <w:rPr>
          <w:rFonts w:ascii="Calibri" w:cs="Calibri" w:eastAsia="Calibri" w:hAnsi="Calibri"/>
          <w:b/>
          <w:bCs/>
          <w:color w:val="1A1F2E"/>
          <w:sz w:val="32"/>
          <w:szCs w:val="32"/>
        </w:rPr>
        <w:t xml:space="preserve">3. Stakeholders and What They Need From This Work</w:t>
      </w:r>
    </w:p>
    <w:p>
      <w:pPr>
        <w:spacing w:after="160" w:before="60" w:line="320"/>
        <w:jc w:val="both"/>
      </w:pPr>
      <w:r>
        <w:rPr>
          <w:rFonts w:ascii="Calibri" w:cs="Calibri" w:eastAsia="Calibri" w:hAnsi="Calibri"/>
          <w:color w:val="262B35"/>
          <w:sz w:val="22"/>
          <w:szCs w:val="22"/>
        </w:rPr>
        <w:t xml:space="preserve">A data product has no value until someone uses it. Mapping the stakeholders early forces the analytics team to design for adoption rather than for the leaderboard. Five groups have standing in this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Stakeholder</w:t>
            </w:r>
          </w:p>
        </w:tc>
        <w:tc>
          <w:tcPr>
            <w:tcW w:type="dxa" w:w="636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What they need from this work</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Marketing &amp; CRM leadership</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Reliable reorder probabilities to personalise push notifications, email pre-carts, and in-app recommendations. A better signal is worth more to them than a prettier dashboard.</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Category &amp; merchandising managers</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Evidence-based insight into which products are true staples for which segments, which products cannibalise each other, and which are discovery items that drive future basket growth.</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Operations &amp; supply chain</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Household-level demand anticipation that translates into better picking-route density, fewer out-of-stocks on high-reorder items, and sharper inventory planning in perishables.</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C-suite</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defensible link from analytics investment to retention, basket size, and advertising yield — the three levers that move enterprise value in this category.</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End customers</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faster, more relevant shopping experience. Fewer seconds between opening the app and completing a list, fewer missing staples, fewer irrelevant suggestions. The customer does not see the model; they feel its absence when it is wrong.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FDF3E3"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Design principle</w:t>
            </w:r>
          </w:p>
          <w:p>
            <w:pPr>
              <w:spacing w:after="0" w:before="0" w:line="300"/>
              <w:jc w:val="left"/>
            </w:pPr>
            <w:r>
              <w:rPr>
                <w:rFonts w:ascii="Calibri" w:cs="Calibri" w:eastAsia="Calibri" w:hAnsi="Calibri"/>
                <w:color w:val="262B35"/>
                <w:sz w:val="21"/>
                <w:szCs w:val="21"/>
              </w:rPr>
              <w:t xml:space="preserve">Every model output this project produces should be tied, by an explicit path, to a decision that a named stakeholder makes. If no one owns the decision the output informs, the output is a vanity artefact.</w:t>
            </w:r>
          </w:p>
        </w:tc>
      </w:tr>
    </w:tbl>
    <w:p>
      <w:pPr>
        <w:pStyle w:val="Heading1"/>
        <w:spacing w:after="180" w:before="360"/>
      </w:pPr>
      <w:r>
        <w:rPr>
          <w:rFonts w:ascii="Calibri" w:cs="Calibri" w:eastAsia="Calibri" w:hAnsi="Calibri"/>
          <w:b/>
          <w:bCs/>
          <w:color w:val="1A1F2E"/>
          <w:sz w:val="32"/>
          <w:szCs w:val="32"/>
        </w:rPr>
        <w:t xml:space="preserve">4. Success Criteria</w:t>
      </w:r>
    </w:p>
    <w:p>
      <w:pPr>
        <w:spacing w:after="160" w:before="60" w:line="320"/>
        <w:jc w:val="both"/>
      </w:pPr>
      <w:r>
        <w:rPr>
          <w:rFonts w:ascii="Calibri" w:cs="Calibri" w:eastAsia="Calibri" w:hAnsi="Calibri"/>
          <w:color w:val="262B35"/>
          <w:sz w:val="22"/>
          <w:szCs w:val="22"/>
        </w:rPr>
        <w:t xml:space="preserve">Success is defined on two axes. The business axis is what the sponsors pay for. The analytical axis is how the team holds itself accountable during development. A model that scores well on the analytical axis but cannot demonstrate business lift is a research exercise. A business claim that cannot be audited to a model metric is marketing.</w:t>
      </w:r>
    </w:p>
    <w:p>
      <w:pPr>
        <w:pStyle w:val="Heading2"/>
        <w:spacing w:after="120" w:before="280"/>
      </w:pPr>
      <w:r>
        <w:rPr>
          <w:rFonts w:ascii="Calibri" w:cs="Calibri" w:eastAsia="Calibri" w:hAnsi="Calibri"/>
          <w:b/>
          <w:bCs/>
          <w:color w:val="1A1F2E"/>
          <w:sz w:val="26"/>
          <w:szCs w:val="26"/>
        </w:rPr>
        <w:t xml:space="preserve">4.1  Business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A1F2E" w:val="clear"/>
            <w:tcMar>
              <w:top w:type="dxa" w:w="140"/>
              <w:left w:type="dxa" w:w="140"/>
              <w:bottom w:type="dxa" w:w="140"/>
              <w:right w:type="dxa" w:w="140"/>
            </w:tcMar>
          </w:tcPr>
          <w:p>
            <w:pPr>
              <w:jc w:val="center"/>
            </w:pPr>
            <w:r>
              <w:rPr>
                <w:rFonts w:ascii="Calibri" w:cs="Calibri" w:eastAsia="Calibri" w:hAnsi="Calibri"/>
                <w:b/>
                <w:bCs/>
                <w:color w:val="FFFFFF"/>
                <w:sz w:val="21"/>
                <w:szCs w:val="21"/>
              </w:rPr>
              <w:t xml:space="preserve">Outcome</w:t>
            </w:r>
          </w:p>
        </w:tc>
        <w:tc>
          <w:tcPr>
            <w:tcW w:type="dxa" w:w="2340"/>
            <w:tcBorders>
              <w:top w:val="single" w:color="CCCCCC" w:sz="4"/>
              <w:left w:val="single" w:color="CCCCCC" w:sz="4"/>
              <w:bottom w:val="single" w:color="CCCCCC" w:sz="4"/>
              <w:right w:val="single" w:color="CCCCCC" w:sz="4"/>
            </w:tcBorders>
            <w:shd w:fill="1A1F2E" w:val="clear"/>
            <w:tcMar>
              <w:top w:type="dxa" w:w="140"/>
              <w:left w:type="dxa" w:w="140"/>
              <w:bottom w:type="dxa" w:w="140"/>
              <w:right w:type="dxa" w:w="140"/>
            </w:tcMar>
          </w:tcPr>
          <w:p>
            <w:pPr>
              <w:jc w:val="center"/>
            </w:pPr>
            <w:r>
              <w:rPr>
                <w:rFonts w:ascii="Calibri" w:cs="Calibri" w:eastAsia="Calibri" w:hAnsi="Calibri"/>
                <w:b/>
                <w:bCs/>
                <w:color w:val="FFFFFF"/>
                <w:sz w:val="21"/>
                <w:szCs w:val="21"/>
              </w:rPr>
              <w:t xml:space="preserve">What we measure</w:t>
            </w:r>
          </w:p>
        </w:tc>
        <w:tc>
          <w:tcPr>
            <w:tcW w:type="dxa" w:w="2340"/>
            <w:tcBorders>
              <w:top w:val="single" w:color="CCCCCC" w:sz="4"/>
              <w:left w:val="single" w:color="CCCCCC" w:sz="4"/>
              <w:bottom w:val="single" w:color="CCCCCC" w:sz="4"/>
              <w:right w:val="single" w:color="CCCCCC" w:sz="4"/>
            </w:tcBorders>
            <w:shd w:fill="1A1F2E" w:val="clear"/>
            <w:tcMar>
              <w:top w:type="dxa" w:w="140"/>
              <w:left w:type="dxa" w:w="140"/>
              <w:bottom w:type="dxa" w:w="140"/>
              <w:right w:type="dxa" w:w="140"/>
            </w:tcMar>
          </w:tcPr>
          <w:p>
            <w:pPr>
              <w:jc w:val="center"/>
            </w:pPr>
            <w:r>
              <w:rPr>
                <w:rFonts w:ascii="Calibri" w:cs="Calibri" w:eastAsia="Calibri" w:hAnsi="Calibri"/>
                <w:b/>
                <w:bCs/>
                <w:color w:val="FFFFFF"/>
                <w:sz w:val="21"/>
                <w:szCs w:val="21"/>
              </w:rPr>
              <w:t xml:space="preserve">Why it matters</w:t>
            </w:r>
          </w:p>
        </w:tc>
        <w:tc>
          <w:tcPr>
            <w:tcW w:type="dxa" w:w="2340"/>
            <w:tcBorders>
              <w:top w:val="single" w:color="CCCCCC" w:sz="4"/>
              <w:left w:val="single" w:color="CCCCCC" w:sz="4"/>
              <w:bottom w:val="single" w:color="CCCCCC" w:sz="4"/>
              <w:right w:val="single" w:color="CCCCCC" w:sz="4"/>
            </w:tcBorders>
            <w:shd w:fill="1A1F2E" w:val="clear"/>
            <w:tcMar>
              <w:top w:type="dxa" w:w="140"/>
              <w:left w:type="dxa" w:w="140"/>
              <w:bottom w:type="dxa" w:w="140"/>
              <w:right w:type="dxa" w:w="140"/>
            </w:tcMar>
          </w:tcPr>
          <w:p>
            <w:pPr>
              <w:jc w:val="center"/>
            </w:pPr>
            <w:r>
              <w:rPr>
                <w:rFonts w:ascii="Calibri" w:cs="Calibri" w:eastAsia="Calibri" w:hAnsi="Calibri"/>
                <w:b/>
                <w:bCs/>
                <w:color w:val="FFFFFF"/>
                <w:sz w:val="21"/>
                <w:szCs w:val="21"/>
              </w:rPr>
              <w:t xml:space="preserve">Indicative target</w:t>
            </w:r>
          </w:p>
        </w:tc>
      </w:tr>
      <w:tr>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Reorder rate</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Share of items in the next order predicted correctly</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Direct proxy for recommendation relevance</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Lift vs. popularity baseline</w:t>
            </w:r>
          </w:p>
        </w:tc>
      </w:tr>
      <w:tr>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Basket size</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Items per order for users exposed to personalised recommendations</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Revenue lever in a thin-margin category</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Measurable uplift per active user</w:t>
            </w:r>
          </w:p>
        </w:tc>
      </w:tr>
      <w:tr>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Retention</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Repeat-purchase rate at 30, 60, 90 days</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Only compounding growth lever in grocery</w:t>
            </w:r>
          </w:p>
        </w:tc>
        <w:tc>
          <w:tcPr>
            <w:tcW w:type="dxa" w:w="2340"/>
            <w:tcBorders>
              <w:top w:val="single" w:color="CCCCCC" w:sz="4"/>
              <w:left w:val="single" w:color="CCCCCC" w:sz="4"/>
              <w:bottom w:val="single" w:color="CCCCCC" w:sz="4"/>
              <w:right w:val="single" w:color="CCCCCC" w:sz="4"/>
            </w:tcBorders>
            <w:shd w:fill="F2F4F6" w:val="clear"/>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Double-digit improvement directionally</w:t>
            </w:r>
          </w:p>
        </w:tc>
      </w:tr>
      <w:tr>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Advertising yield</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CPG-sponsored placement click-through and conversion</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Highest-margin revenue line on the platform</w:t>
            </w:r>
          </w:p>
        </w:tc>
        <w:tc>
          <w:tcPr>
            <w:tcW w:type="dxa" w:w="2340"/>
            <w:tcBorders>
              <w:top w:val="single" w:color="CCCCCC" w:sz="4"/>
              <w:left w:val="single" w:color="CCCCCC" w:sz="4"/>
              <w:bottom w:val="single" w:color="CCCCCC" w:sz="4"/>
              <w:right w:val="single" w:color="CCCCCC" w:sz="4"/>
            </w:tcBorders>
            <w:tcMar>
              <w:top w:type="dxa" w:w="140"/>
              <w:left w:type="dxa" w:w="140"/>
              <w:bottom w:type="dxa" w:w="140"/>
              <w:right w:type="dxa" w:w="140"/>
            </w:tcMar>
          </w:tcPr>
          <w:p>
            <w:pPr>
              <w:spacing w:line="260"/>
              <w:jc w:val="left"/>
            </w:pPr>
            <w:r>
              <w:rPr>
                <w:rFonts w:ascii="Calibri" w:cs="Calibri" w:eastAsia="Calibri" w:hAnsi="Calibri"/>
                <w:color w:val="262B35"/>
                <w:sz w:val="20"/>
                <w:szCs w:val="20"/>
              </w:rPr>
              <w:t xml:space="preserve">Better targeting = higher realised yield</w:t>
            </w:r>
          </w:p>
        </w:tc>
      </w:tr>
    </w:tbl>
    <w:p>
      <w:pPr>
        <w:pStyle w:val="Heading2"/>
        <w:spacing w:after="120" w:before="280"/>
      </w:pPr>
      <w:r>
        <w:rPr>
          <w:rFonts w:ascii="Calibri" w:cs="Calibri" w:eastAsia="Calibri" w:hAnsi="Calibri"/>
          <w:b/>
          <w:bCs/>
          <w:color w:val="1A1F2E"/>
          <w:sz w:val="26"/>
          <w:szCs w:val="26"/>
        </w:rPr>
        <w:t xml:space="preserve">4.2  Analytical outcomes</w:t>
      </w:r>
    </w:p>
    <w:p>
      <w:pPr>
        <w:spacing w:after="160" w:before="60" w:line="320"/>
        <w:jc w:val="both"/>
      </w:pPr>
      <w:r>
        <w:rPr>
          <w:rFonts w:ascii="Calibri" w:cs="Calibri" w:eastAsia="Calibri" w:hAnsi="Calibri"/>
          <w:color w:val="262B35"/>
          <w:sz w:val="22"/>
          <w:szCs w:val="22"/>
        </w:rPr>
        <w:t xml:space="preserve">At the model level, the reorder task is naturally framed as a binary classification at the (user, product) pair level. The class imbalance is severe — the overwhelming majority of candidate pairs are not reorders — which makes threshold-free metrics (AUC, average precision, and the F1-optimised threshold) far more informative than raw accuracy. A baseline model built on popularity and user-product reorder frequency is the honest reference point; any sophisticated model must beat it by a margin that justifies its engineering and compute cost. For basket affinity, conventional support, confidence, and lift statistics carry the day, provided the outputs are filtered to complement pairs rather than co-popularity artefacts.</w:t>
      </w:r>
    </w:p>
    <w:p>
      <w:pPr>
        <w:spacing w:after="160" w:before="60" w:line="320"/>
        <w:jc w:val="both"/>
      </w:pPr>
      <w:r>
        <w:rPr>
          <w:rFonts w:ascii="Calibri" w:cs="Calibri" w:eastAsia="Calibri" w:hAnsi="Calibri"/>
          <w:color w:val="262B35"/>
          <w:sz w:val="22"/>
          <w:szCs w:val="22"/>
        </w:rPr>
        <w:t xml:space="preserve">Equally important, and often absent from academic deliverables, is a diagnostic view. The team is expected to understand where the model is wrong, not only how wrong it is on average. Error analysis — which customers, which products, which departments the model misses on — is what converts a model into a business recommendation, and it is the difference between a student-level submission and a consultant-level one.</w:t>
      </w:r>
    </w:p>
    <w:p>
      <w:pPr>
        <w:pStyle w:val="Heading1"/>
        <w:spacing w:after="180" w:before="360"/>
      </w:pPr>
      <w:r>
        <w:rPr>
          <w:rFonts w:ascii="Calibri" w:cs="Calibri" w:eastAsia="Calibri" w:hAnsi="Calibri"/>
          <w:b/>
          <w:bCs/>
          <w:color w:val="1A1F2E"/>
          <w:sz w:val="32"/>
          <w:szCs w:val="32"/>
        </w:rPr>
        <w:t xml:space="preserve">5. The Dataset, in Business Language</w:t>
      </w:r>
    </w:p>
    <w:p>
      <w:pPr>
        <w:spacing w:after="160" w:before="60" w:line="320"/>
        <w:jc w:val="both"/>
      </w:pPr>
      <w:r>
        <w:rPr>
          <w:rFonts w:ascii="Calibri" w:cs="Calibri" w:eastAsia="Calibri" w:hAnsi="Calibri"/>
          <w:color w:val="262B35"/>
          <w:sz w:val="22"/>
          <w:szCs w:val="22"/>
        </w:rPr>
        <w:t xml:space="preserve">The project is built on the </w:t>
      </w:r>
      <w:r>
        <w:rPr>
          <w:rFonts w:ascii="Calibri" w:cs="Calibri" w:eastAsia="Calibri" w:hAnsi="Calibri"/>
          <w:b/>
          <w:bCs/>
          <w:color w:val="262B35"/>
          <w:sz w:val="22"/>
          <w:szCs w:val="22"/>
        </w:rPr>
        <w:t xml:space="preserve">Instacart Market Basket Analysis</w:t>
      </w:r>
      <w:r>
        <w:rPr>
          <w:rFonts w:ascii="Calibri" w:cs="Calibri" w:eastAsia="Calibri" w:hAnsi="Calibri"/>
          <w:color w:val="262B35"/>
          <w:sz w:val="22"/>
          <w:szCs w:val="22"/>
        </w:rPr>
        <w:t xml:space="preserve"> dataset released publicly through Kaggle — a de-identified archive of over </w:t>
      </w:r>
      <w:r>
        <w:rPr>
          <w:rFonts w:ascii="Calibri" w:cs="Calibri" w:eastAsia="Calibri" w:hAnsi="Calibri"/>
          <w:b/>
          <w:bCs/>
          <w:color w:val="262B35"/>
          <w:sz w:val="22"/>
          <w:szCs w:val="22"/>
        </w:rPr>
        <w:t xml:space="preserve">3.4 million grocery orders placed by roughly 200,000 anonymised customers</w:t>
      </w:r>
      <w:r>
        <w:rPr>
          <w:rFonts w:ascii="Calibri" w:cs="Calibri" w:eastAsia="Calibri" w:hAnsi="Calibri"/>
          <w:color w:val="262B35"/>
          <w:sz w:val="22"/>
          <w:szCs w:val="22"/>
        </w:rPr>
        <w:t xml:space="preserve">, covering approximately </w:t>
      </w:r>
      <w:r>
        <w:rPr>
          <w:rFonts w:ascii="Calibri" w:cs="Calibri" w:eastAsia="Calibri" w:hAnsi="Calibri"/>
          <w:b/>
          <w:bCs/>
          <w:color w:val="262B35"/>
          <w:sz w:val="22"/>
          <w:szCs w:val="22"/>
        </w:rPr>
        <w:t xml:space="preserve">50,000 products organised into 134 aisles and 21 departments</w:t>
      </w:r>
      <w:r>
        <w:rPr>
          <w:rStyle w:val="FootnoteReference"/>
        </w:rPr>
        <w:footnoteReference w:id="6"/>
      </w:r>
      <w:r>
        <w:rPr>
          <w:rFonts w:ascii="Calibri" w:cs="Calibri" w:eastAsia="Calibri" w:hAnsi="Calibri"/>
          <w:color w:val="262B35"/>
          <w:sz w:val="22"/>
          <w:szCs w:val="22"/>
        </w:rPr>
        <w:t xml:space="preserve">. The prior orders table alone runs past 32 million rows, which is an engineering fact before it is a statistical one: naive in-memory processing will fail, and the team must adopt chunked reads, column downcasting, or strategic sampling from the outset.</w:t>
      </w:r>
    </w:p>
    <w:p>
      <w:pPr>
        <w:pStyle w:val="Heading2"/>
        <w:spacing w:after="120" w:before="280"/>
      </w:pPr>
      <w:r>
        <w:rPr>
          <w:rFonts w:ascii="Calibri" w:cs="Calibri" w:eastAsia="Calibri" w:hAnsi="Calibri"/>
          <w:b/>
          <w:bCs/>
          <w:color w:val="1A1F2E"/>
          <w:sz w:val="26"/>
          <w:szCs w:val="26"/>
        </w:rPr>
        <w:t xml:space="preserve">5.1  What the data actually contains</w:t>
      </w:r>
    </w:p>
    <w:p>
      <w:pPr>
        <w:spacing w:after="160" w:before="60" w:line="320"/>
        <w:jc w:val="both"/>
      </w:pPr>
      <w:r>
        <w:rPr>
          <w:rFonts w:ascii="Calibri" w:cs="Calibri" w:eastAsia="Calibri" w:hAnsi="Calibri"/>
          <w:color w:val="262B35"/>
          <w:sz w:val="22"/>
          <w:szCs w:val="22"/>
        </w:rPr>
        <w:t xml:space="preserve">The archive is organised around a relational schema that mirrors how transactions are captured in a real e-commerce warehouse. The fields below are not merely columns — each is a commercial lever waiting to be engineered into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Entity</w:t>
            </w:r>
          </w:p>
        </w:tc>
        <w:tc>
          <w:tcPr>
            <w:tcW w:type="dxa" w:w="636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Commercial meaning</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Orders</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The transaction header. Each row carries a timestamp-like signal (day of week, hour of day, days since prior order) that is the raw material for temporal segmentation and push-notification timing.</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Products</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The SKU catalogue, with hierarchy into aisle and department. Hierarchy lets the team trade precision for coverage — rare SKUs get useful context from their aisle.</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Order-product rows</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The line items. Position in cart is a known behavioural signal — items added first are more habitual than impulse additions. The reorder flag is the supervised-learning target.</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Prior / train / test</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 pre-built temporal split. Prior gives the customer’s full history; train and test provide held-out next-order behaviour. Respecting this split is what keeps the evaluation honest.</w:t>
            </w:r>
          </w:p>
        </w:tc>
      </w:tr>
    </w:tbl>
    <w:p>
      <w:pPr>
        <w:pStyle w:val="Heading2"/>
        <w:spacing w:after="120" w:before="280"/>
      </w:pPr>
      <w:r>
        <w:rPr>
          <w:rFonts w:ascii="Calibri" w:cs="Calibri" w:eastAsia="Calibri" w:hAnsi="Calibri"/>
          <w:b/>
          <w:bCs/>
          <w:color w:val="1A1F2E"/>
          <w:sz w:val="26"/>
          <w:szCs w:val="26"/>
        </w:rPr>
        <w:t xml:space="preserve">5.2  Why these fields matter commercially</w:t>
      </w:r>
    </w:p>
    <w:p>
      <w:pPr>
        <w:spacing w:after="160" w:before="60" w:line="320"/>
        <w:jc w:val="both"/>
      </w:pPr>
      <w:r>
        <w:rPr>
          <w:rFonts w:ascii="Calibri" w:cs="Calibri" w:eastAsia="Calibri" w:hAnsi="Calibri"/>
          <w:color w:val="262B35"/>
          <w:sz w:val="22"/>
          <w:szCs w:val="22"/>
        </w:rPr>
        <w:t xml:space="preserve">A handful of the fields carry disproportionate commercial weight. The reorder flag is the supervised target for the headline model. Days-since-prior-order is the single strongest temporal feature — it indexes household shopping cadence and, at the aggregate level, is what tells the CRM team when a customer is "due" to open the app again. Day-of-week and hour-of-day, taken together, reveal the structural rhythms of consumption — Sunday stock-ups, weekday top-ups, the late-evening snacking spike — that drive both marketing timing and fulfilment capacity planning. Aisle and department form the scaffolding for behavioural segmentation: a household whose basket leans heavily into the produce and dairy departments behaves commercially very differently from one whose orders cluster in snacks and frozen meals.</w:t>
      </w:r>
    </w:p>
    <w:p>
      <w:pPr>
        <w:pStyle w:val="Heading2"/>
        <w:spacing w:after="120" w:before="280"/>
      </w:pPr>
      <w:r>
        <w:rPr>
          <w:rFonts w:ascii="Calibri" w:cs="Calibri" w:eastAsia="Calibri" w:hAnsi="Calibri"/>
          <w:b/>
          <w:bCs/>
          <w:color w:val="1A1F2E"/>
          <w:sz w:val="26"/>
          <w:szCs w:val="26"/>
        </w:rPr>
        <w:t xml:space="preserve">5.3  Engineering the signal</w:t>
      </w:r>
    </w:p>
    <w:p>
      <w:pPr>
        <w:spacing w:after="160" w:before="60" w:line="320"/>
        <w:jc w:val="both"/>
      </w:pPr>
      <w:r>
        <w:rPr>
          <w:rFonts w:ascii="Calibri" w:cs="Calibri" w:eastAsia="Calibri" w:hAnsi="Calibri"/>
          <w:color w:val="262B35"/>
          <w:sz w:val="22"/>
          <w:szCs w:val="22"/>
        </w:rPr>
        <w:t xml:space="preserve">The enterprise pattern for this problem — the one companies like Instacart, Amazon Fresh, and Ocado converge on — operates at the (user, product) pair level. For every customer and every candidate product they have ever bought, the pipeline computes three layers of features: user-level behaviour (frequency, basket diversity, organic affinity), product-level behaviour (overall popularity, reorder rate, typical position in cart), and the cross-term that usually carries most of the predictive power (how many times has this specific user bought this specific product; how long since they last did; is it part of their routine or a one-time experiment). Feature engineering is where this project is won or lost. The modelling choice — gradient-boosted trees, almost invariably — is nearly a foregone conclusion given the shape of the data; the features handed to the model are what actually determine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F2F4F6"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A consequence worth naming</w:t>
            </w:r>
          </w:p>
          <w:p>
            <w:pPr>
              <w:spacing w:after="0" w:before="0" w:line="300"/>
              <w:jc w:val="left"/>
            </w:pPr>
            <w:r>
              <w:rPr>
                <w:rFonts w:ascii="Calibri" w:cs="Calibri" w:eastAsia="Calibri" w:hAnsi="Calibri"/>
                <w:color w:val="262B35"/>
                <w:sz w:val="21"/>
                <w:szCs w:val="21"/>
              </w:rPr>
              <w:t xml:space="preserve">Because reorder probability must be computed for every plausible (user, product) pair, the candidate space runs into the hundreds of millions of rows. Any modelling approach must be compatible with that scale — which is another reason gradient-boosted trees dominate production deployments in this category.</w:t>
            </w:r>
          </w:p>
        </w:tc>
      </w:tr>
    </w:tbl>
    <w:p>
      <w:pPr>
        <w:pStyle w:val="Heading1"/>
        <w:spacing w:after="180" w:before="360"/>
      </w:pPr>
      <w:r>
        <w:rPr>
          <w:rFonts w:ascii="Calibri" w:cs="Calibri" w:eastAsia="Calibri" w:hAnsi="Calibri"/>
          <w:b/>
          <w:bCs/>
          <w:color w:val="1A1F2E"/>
          <w:sz w:val="32"/>
          <w:szCs w:val="32"/>
        </w:rPr>
        <w:t xml:space="preserve">6. The Questions the Business Wants Answered</w:t>
      </w:r>
    </w:p>
    <w:p>
      <w:pPr>
        <w:spacing w:after="160" w:before="60" w:line="320"/>
        <w:jc w:val="both"/>
      </w:pPr>
      <w:r>
        <w:rPr>
          <w:rFonts w:ascii="Calibri" w:cs="Calibri" w:eastAsia="Calibri" w:hAnsi="Calibri"/>
          <w:color w:val="262B35"/>
          <w:sz w:val="22"/>
          <w:szCs w:val="22"/>
        </w:rPr>
        <w:t xml:space="preserve">Good analytics starts from questions the business has actually asked, not from techniques the analyst would like to practice. The list below captures the questions the Instacart dataset is well-placed to answer and the decisions each answer informs.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Business question</w:t>
            </w:r>
          </w:p>
        </w:tc>
        <w:tc>
          <w:tcPr>
            <w:tcW w:type="dxa" w:w="636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What we do once we know</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Which products are most frequently reordered, overall and within each department?</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Stock planning and a calibrated "buy it again" surface that does not over-rely on overall popularity.</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What time patterns characterise peak purchasing — by hour, day, and inter-order gap?</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Push-notification timing, marketing cadence, and shopper-capacity planning.</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How do basket compositions differ across customer segments?</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Segment-specific merchandising and a richer audience taxonomy for CPG advertisers.</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Which products are genuine complements rather than merely co-popular?</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Basket-building recommendations and cross-sell surfaces that feel helpful instead of spammy.</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How does shopping frequency evolve as a household tenures on the platform?</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Lifecycle-stage CRM, early-churn risk flagging, and interventions that arrest decay in order cadence.</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Are there identifiable preference signatures — organic, gluten-free, low-fat, pantry-heavy?</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Dietary-aware personalisation and a meaningful input to CPG-sponsored product placement.</w:t>
            </w:r>
          </w:p>
        </w:tc>
      </w:tr>
    </w:tbl>
    <w:p>
      <w:pPr>
        <w:pStyle w:val="Heading1"/>
        <w:spacing w:after="180" w:before="360"/>
      </w:pPr>
      <w:r>
        <w:rPr>
          <w:rFonts w:ascii="Calibri" w:cs="Calibri" w:eastAsia="Calibri" w:hAnsi="Calibri"/>
          <w:b/>
          <w:bCs/>
          <w:color w:val="1A1F2E"/>
          <w:sz w:val="32"/>
          <w:szCs w:val="32"/>
        </w:rPr>
        <w:t xml:space="preserve">7. Analytical Approach, Framed for Business Readers</w:t>
      </w:r>
    </w:p>
    <w:p>
      <w:pPr>
        <w:spacing w:after="160" w:before="60" w:line="320"/>
        <w:jc w:val="both"/>
      </w:pPr>
      <w:r>
        <w:rPr>
          <w:rFonts w:ascii="Calibri" w:cs="Calibri" w:eastAsia="Calibri" w:hAnsi="Calibri"/>
          <w:color w:val="262B35"/>
          <w:sz w:val="22"/>
          <w:szCs w:val="22"/>
        </w:rPr>
        <w:t xml:space="preserve">The technical detail of the approach belongs in the Low-Level Design; what matters here is the narrative that ties technique to business outcome. The engagement unfolds in three analytical pillars, each with a specific decision-owner on the business side.</w:t>
      </w:r>
    </w:p>
    <w:p>
      <w:pPr>
        <w:pStyle w:val="Heading3"/>
        <w:spacing w:after="100" w:before="200"/>
      </w:pPr>
      <w:r>
        <w:rPr>
          <w:rFonts w:ascii="Calibri" w:cs="Calibri" w:eastAsia="Calibri" w:hAnsi="Calibri"/>
          <w:b/>
          <w:bCs/>
          <w:color w:val="0F7A4D"/>
          <w:sz w:val="22"/>
          <w:szCs w:val="22"/>
        </w:rPr>
        <w:t xml:space="preserve">Pillar 1 — Exploratory diagnosis</w:t>
      </w:r>
    </w:p>
    <w:p>
      <w:pPr>
        <w:spacing w:after="160" w:before="60" w:line="320"/>
        <w:jc w:val="both"/>
      </w:pPr>
      <w:r>
        <w:rPr>
          <w:rFonts w:ascii="Calibri" w:cs="Calibri" w:eastAsia="Calibri" w:hAnsi="Calibri"/>
          <w:color w:val="262B35"/>
          <w:sz w:val="22"/>
          <w:szCs w:val="22"/>
        </w:rPr>
        <w:t xml:space="preserve">The first pillar is not a rehearsal; it is where most of the commercial insight actually hides. A disciplined exploratory pass will surface the temporal rhythms of the platform, the long tail of product popularity, the distribution of basket sizes, the heavy skew in reorder rates across departments, and the quality problems that will constrain every subsequent modelling choice. The output of the exploratory pass is not charts — it is a set of testable hypotheses and a candid assessment of data quality.</w:t>
      </w:r>
    </w:p>
    <w:p>
      <w:pPr>
        <w:pStyle w:val="Heading3"/>
        <w:spacing w:after="100" w:before="200"/>
      </w:pPr>
      <w:r>
        <w:rPr>
          <w:rFonts w:ascii="Calibri" w:cs="Calibri" w:eastAsia="Calibri" w:hAnsi="Calibri"/>
          <w:b/>
          <w:bCs/>
          <w:color w:val="0F7A4D"/>
          <w:sz w:val="22"/>
          <w:szCs w:val="22"/>
        </w:rPr>
        <w:t xml:space="preserve">Pillar 2 — Reorder prediction</w:t>
      </w:r>
    </w:p>
    <w:p>
      <w:pPr>
        <w:spacing w:after="160" w:before="60" w:line="320"/>
        <w:jc w:val="both"/>
      </w:pPr>
      <w:r>
        <w:rPr>
          <w:rFonts w:ascii="Calibri" w:cs="Calibri" w:eastAsia="Calibri" w:hAnsi="Calibri"/>
          <w:color w:val="262B35"/>
          <w:sz w:val="22"/>
          <w:szCs w:val="22"/>
        </w:rPr>
        <w:t xml:space="preserve">The headline model predicts, for each (user, product) pair, the probability that the user will include the product in their next order. The literature, and industrial practice, converge on gradient-boosted decision trees for this task: they handle heterogeneous features natively, train quickly at this scale, and produce predictions that are inspectable enough for the merchandising team to trust. The model is scored against a baseline built on popularity and per-user reorder frequency; any sophistication beyond the baseline must earn its keep.</w:t>
      </w:r>
    </w:p>
    <w:p>
      <w:pPr>
        <w:pStyle w:val="Heading3"/>
        <w:spacing w:after="100" w:before="200"/>
      </w:pPr>
      <w:r>
        <w:rPr>
          <w:rFonts w:ascii="Calibri" w:cs="Calibri" w:eastAsia="Calibri" w:hAnsi="Calibri"/>
          <w:b/>
          <w:bCs/>
          <w:color w:val="0F7A4D"/>
          <w:sz w:val="22"/>
          <w:szCs w:val="22"/>
        </w:rPr>
        <w:t xml:space="preserve">Pillar 3 — Market-basket and segmentation analysis</w:t>
      </w:r>
    </w:p>
    <w:p>
      <w:pPr>
        <w:spacing w:after="160" w:before="60" w:line="320"/>
        <w:jc w:val="both"/>
      </w:pPr>
      <w:r>
        <w:rPr>
          <w:rFonts w:ascii="Calibri" w:cs="Calibri" w:eastAsia="Calibri" w:hAnsi="Calibri"/>
          <w:color w:val="262B35"/>
          <w:sz w:val="22"/>
          <w:szCs w:val="22"/>
        </w:rPr>
        <w:t xml:space="preserve">The third pillar stands somewhat apart from the reorder task. It answers different questions: which products travel together, which segments of customers behave coherently enough to merit distinct treatment, and where the opportunities for targeted cross-sell and lifecycle marketing actually sit. Association rules surface complements; a compact clustering on behavioural features surfaces segments; text features derived from product names surface dietary and lifestyle signals that pure category hierarchies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FDF3E3"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What we are deliberately not doing</w:t>
            </w:r>
          </w:p>
          <w:p>
            <w:pPr>
              <w:spacing w:after="0" w:before="0" w:line="300"/>
              <w:jc w:val="left"/>
            </w:pPr>
            <w:r>
              <w:rPr>
                <w:rFonts w:ascii="Calibri" w:cs="Calibri" w:eastAsia="Calibri" w:hAnsi="Calibri"/>
                <w:color w:val="262B35"/>
                <w:sz w:val="21"/>
                <w:szCs w:val="21"/>
              </w:rPr>
              <w:t xml:space="preserve">This engagement is an MVP. It does not aim to ship a production recommendation engine, re-architect the data pipeline, or make inventory commitments. It aims to demonstrate that the behavioural signal in the data is strong enough, and accessible enough, to justify the investment in a subsequent build-phase.</w:t>
            </w:r>
          </w:p>
        </w:tc>
      </w:tr>
    </w:tbl>
    <w:p>
      <w:pPr>
        <w:pStyle w:val="Heading1"/>
        <w:spacing w:after="180" w:before="360"/>
      </w:pPr>
      <w:r>
        <w:rPr>
          <w:rFonts w:ascii="Calibri" w:cs="Calibri" w:eastAsia="Calibri" w:hAnsi="Calibri"/>
          <w:b/>
          <w:bCs/>
          <w:color w:val="1A1F2E"/>
          <w:sz w:val="32"/>
          <w:szCs w:val="32"/>
        </w:rPr>
        <w:t xml:space="preserve">8. Assumptions</w:t>
      </w:r>
    </w:p>
    <w:p>
      <w:pPr>
        <w:spacing w:after="160" w:before="60" w:line="320"/>
        <w:jc w:val="both"/>
      </w:pPr>
      <w:r>
        <w:rPr>
          <w:rFonts w:ascii="Calibri" w:cs="Calibri" w:eastAsia="Calibri" w:hAnsi="Calibri"/>
          <w:color w:val="262B35"/>
          <w:sz w:val="22"/>
          <w:szCs w:val="22"/>
        </w:rPr>
        <w:t xml:space="preserve">Every data-science engagement rests on assumptions the team either makes explicit and defends, or quietly inherits and discovers too late. Four assumptions sit under this project.</w:t>
      </w:r>
    </w:p>
    <w:p>
      <w:pPr>
        <w:spacing w:after="160" w:before="60" w:line="320"/>
        <w:jc w:val="both"/>
      </w:pPr>
      <w:r>
        <w:rPr>
          <w:rFonts w:ascii="Calibri" w:cs="Calibri" w:eastAsia="Calibri" w:hAnsi="Calibri"/>
          <w:color w:val="262B35"/>
          <w:sz w:val="22"/>
          <w:szCs w:val="22"/>
        </w:rPr>
        <w:t xml:space="preserve">The first is that customer behaviour is at least partially predictable from historical transactions. This is well-supported in the published literature and in industrial practice — grocery, with its routinised consumption cycle, is an unusually tractable category for behavioural prediction — but it is not a certainty for every household. Experimental shoppers, low-tenure customers, and households during major life transitions all have less predictable trajectories.</w:t>
      </w:r>
    </w:p>
    <w:p>
      <w:pPr>
        <w:spacing w:after="160" w:before="60" w:line="320"/>
        <w:jc w:val="both"/>
      </w:pPr>
      <w:r>
        <w:rPr>
          <w:rFonts w:ascii="Calibri" w:cs="Calibri" w:eastAsia="Calibri" w:hAnsi="Calibri"/>
          <w:color w:val="262B35"/>
          <w:sz w:val="22"/>
          <w:szCs w:val="22"/>
        </w:rPr>
        <w:t xml:space="preserve">The second is that the dataset is reasonably representative of the customer base we care about. The Kaggle release is a sample drawn from Instacart’s broader transaction archive; it is not, and does not claim to be, a statistically balanced panel. Any segmentation or prevalence claim that makes its way into an executive conversation needs this caveat attached.</w:t>
      </w:r>
    </w:p>
    <w:p>
      <w:pPr>
        <w:spacing w:after="160" w:before="60" w:line="320"/>
        <w:jc w:val="both"/>
      </w:pPr>
      <w:r>
        <w:rPr>
          <w:rFonts w:ascii="Calibri" w:cs="Calibri" w:eastAsia="Calibri" w:hAnsi="Calibri"/>
          <w:color w:val="262B35"/>
          <w:sz w:val="22"/>
          <w:szCs w:val="22"/>
        </w:rPr>
        <w:t xml:space="preserve">The third is behavioural stability. The observation window predates meaningful macroeconomic shocks, supply-chain disruptions, and the inflationary squeeze on grocery baskets that has reshaped shopping behaviour in the years since. Models trained on a quiet period will fail in ways that are hard to detect in an offline evaluation if deployed during a volatile one. Any go-live decision downstream of this MVP must include a re-training plan.</w:t>
      </w:r>
    </w:p>
    <w:p>
      <w:pPr>
        <w:spacing w:after="160" w:before="60" w:line="320"/>
        <w:jc w:val="both"/>
      </w:pPr>
      <w:r>
        <w:rPr>
          <w:rFonts w:ascii="Calibri" w:cs="Calibri" w:eastAsia="Calibri" w:hAnsi="Calibri"/>
          <w:color w:val="262B35"/>
          <w:sz w:val="22"/>
          <w:szCs w:val="22"/>
        </w:rPr>
        <w:t xml:space="preserve">The fourth is data quality. The dataset is clean as academic datasets go, but it is not production-grade. Product naming is inconsistent, the aisle and department hierarchy is coarser than a merchandiser would want, and the absence of price, promotion, and stockout information means that certain commercial interpretations of the data will always be provisional. The team documents these limits rather than papering over them.</w:t>
      </w:r>
    </w:p>
    <w:p>
      <w:pPr>
        <w:pStyle w:val="Heading1"/>
        <w:spacing w:after="180" w:before="360"/>
      </w:pPr>
      <w:r>
        <w:rPr>
          <w:rFonts w:ascii="Calibri" w:cs="Calibri" w:eastAsia="Calibri" w:hAnsi="Calibri"/>
          <w:b/>
          <w:bCs/>
          <w:color w:val="1A1F2E"/>
          <w:sz w:val="32"/>
          <w:szCs w:val="32"/>
        </w:rPr>
        <w:t xml:space="preserve">9. Constraints and Risks</w:t>
      </w:r>
    </w:p>
    <w:p>
      <w:pPr>
        <w:pStyle w:val="Heading2"/>
        <w:spacing w:after="120" w:before="280"/>
      </w:pPr>
      <w:r>
        <w:rPr>
          <w:rFonts w:ascii="Calibri" w:cs="Calibri" w:eastAsia="Calibri" w:hAnsi="Calibri"/>
          <w:b/>
          <w:bCs/>
          <w:color w:val="1A1F2E"/>
          <w:sz w:val="26"/>
          <w:szCs w:val="26"/>
        </w:rPr>
        <w:t xml:space="preserve">9.1  Operational constraints</w:t>
      </w:r>
    </w:p>
    <w:p>
      <w:pPr>
        <w:spacing w:after="160" w:before="60" w:line="320"/>
        <w:jc w:val="both"/>
      </w:pPr>
      <w:r>
        <w:rPr>
          <w:rFonts w:ascii="Calibri" w:cs="Calibri" w:eastAsia="Calibri" w:hAnsi="Calibri"/>
          <w:color w:val="262B35"/>
          <w:sz w:val="22"/>
          <w:szCs w:val="22"/>
        </w:rPr>
        <w:t xml:space="preserve">Personalisation is not free. Each personalised recommendation carries a margin cost — a discount offered, a prime shelf placement foregone, a push notification that consumes the household’s limited attention budget. The team must be explicit that model outputs are inputs to a business decision, not the decision itself. A recommendation with 95% confidence is not useful if the product is out of stock or carries a negative contribution margin on promotion. The recommendation engine sits downstream of, and must defer to, the merchandising and supply-chain constraints.</w:t>
      </w:r>
    </w:p>
    <w:p>
      <w:pPr>
        <w:pStyle w:val="Heading2"/>
        <w:spacing w:after="120" w:before="280"/>
      </w:pPr>
      <w:r>
        <w:rPr>
          <w:rFonts w:ascii="Calibri" w:cs="Calibri" w:eastAsia="Calibri" w:hAnsi="Calibri"/>
          <w:b/>
          <w:bCs/>
          <w:color w:val="1A1F2E"/>
          <w:sz w:val="26"/>
          <w:szCs w:val="26"/>
        </w:rPr>
        <w:t xml:space="preserve">9.2  Data privacy and ethics</w:t>
      </w:r>
    </w:p>
    <w:p>
      <w:pPr>
        <w:spacing w:after="160" w:before="60" w:line="320"/>
        <w:jc w:val="both"/>
      </w:pPr>
      <w:r>
        <w:rPr>
          <w:rFonts w:ascii="Calibri" w:cs="Calibri" w:eastAsia="Calibri" w:hAnsi="Calibri"/>
          <w:color w:val="262B35"/>
          <w:sz w:val="22"/>
          <w:szCs w:val="22"/>
        </w:rPr>
        <w:t xml:space="preserve">The dataset used in this engagement is de-identified, but the behavioural patterns it describes are exactly the patterns that, in a production system, would be tied to named individuals. Any organisation that operates this kind of model in production inherits obligations under data-protection regimes (GDPR, CCPA, and the emerging patchwork of state-level U.S. rules), and must also reckon with the softer but equally real obligation not to exploit the intimacy of consumption data. Grocery baskets reveal dietary conditions, religious practices, pregnancies, and financial stress long before any customer volunteers those facts. A team that ships a recommendation engine without a thoughtful position on what the system should not infer or surface is building a reputational liability.</w:t>
      </w:r>
    </w:p>
    <w:p>
      <w:pPr>
        <w:pStyle w:val="Heading2"/>
        <w:spacing w:after="120" w:before="280"/>
      </w:pPr>
      <w:r>
        <w:rPr>
          <w:rFonts w:ascii="Calibri" w:cs="Calibri" w:eastAsia="Calibri" w:hAnsi="Calibri"/>
          <w:b/>
          <w:bCs/>
          <w:color w:val="1A1F2E"/>
          <w:sz w:val="26"/>
          <w:szCs w:val="26"/>
        </w:rPr>
        <w:t xml:space="preserve">9.3  Model and algorithmic risks</w:t>
      </w:r>
    </w:p>
    <w:p>
      <w:pPr>
        <w:spacing w:after="160" w:before="60" w:line="320"/>
        <w:jc w:val="both"/>
      </w:pPr>
      <w:r>
        <w:rPr>
          <w:rFonts w:ascii="Calibri" w:cs="Calibri" w:eastAsia="Calibri" w:hAnsi="Calibri"/>
          <w:color w:val="262B35"/>
          <w:sz w:val="22"/>
          <w:szCs w:val="22"/>
        </w:rPr>
        <w:t xml:space="preserve">Three algorithmic risks stand out. The first is popularity bias: a naive recommender will preferentially surface products that everyone buys, which is useful for new users but actively unhelpful for customers whose routine diverges from the mean. The second is cold-start — new users and new products carry no historical signal, and must be handled by fall-back rules rather than forced through a model that has nothing to say about them. The third is feedback-loop risk: once recommendations shape what users see, the data that the next-generation model trains on is no longer a clean behavioural record but an artefact of the current system. Production deployments mitigate this with systematic exploration; an MVP only needs to acknowledge it.</w:t>
      </w:r>
    </w:p>
    <w:p>
      <w:pPr>
        <w:pStyle w:val="Heading2"/>
        <w:spacing w:after="120" w:before="280"/>
      </w:pPr>
      <w:r>
        <w:rPr>
          <w:rFonts w:ascii="Calibri" w:cs="Calibri" w:eastAsia="Calibri" w:hAnsi="Calibri"/>
          <w:b/>
          <w:bCs/>
          <w:color w:val="1A1F2E"/>
          <w:sz w:val="26"/>
          <w:szCs w:val="26"/>
        </w:rPr>
        <w:t xml:space="preserve">9.4  The limits of historical data</w:t>
      </w:r>
    </w:p>
    <w:p>
      <w:pPr>
        <w:spacing w:after="160" w:before="60" w:line="320"/>
        <w:jc w:val="both"/>
      </w:pPr>
      <w:r>
        <w:rPr>
          <w:rFonts w:ascii="Calibri" w:cs="Calibri" w:eastAsia="Calibri" w:hAnsi="Calibri"/>
          <w:color w:val="262B35"/>
          <w:sz w:val="22"/>
          <w:szCs w:val="22"/>
        </w:rPr>
        <w:t xml:space="preserve">Finally, and most humbly, consumer behaviour is not a stationary distribution. Tastes evolve, prices shift, new entrants reshape the category, and the relationship between a household and its grocery basket changes under the weight of life events. Any model trained on history is, by construction, a model of the past. The business value lies in the speed and discipline with which the organisation re-trains, tests, and updates.</w:t>
      </w:r>
    </w:p>
    <w:p>
      <w:pPr>
        <w:pStyle w:val="Heading1"/>
        <w:spacing w:after="180" w:before="360"/>
      </w:pPr>
      <w:r>
        <w:rPr>
          <w:rFonts w:ascii="Calibri" w:cs="Calibri" w:eastAsia="Calibri" w:hAnsi="Calibri"/>
          <w:b/>
          <w:bCs/>
          <w:color w:val="1A1F2E"/>
          <w:sz w:val="32"/>
          <w:szCs w:val="32"/>
        </w:rPr>
        <w:t xml:space="preserve">10. Expected Business Impact and Actionability</w:t>
      </w:r>
    </w:p>
    <w:p>
      <w:pPr>
        <w:spacing w:after="160" w:before="60" w:line="320"/>
        <w:jc w:val="both"/>
      </w:pPr>
      <w:r>
        <w:rPr>
          <w:rFonts w:ascii="Calibri" w:cs="Calibri" w:eastAsia="Calibri" w:hAnsi="Calibri"/>
          <w:color w:val="262B35"/>
          <w:sz w:val="22"/>
          <w:szCs w:val="22"/>
        </w:rPr>
        <w:t xml:space="preserve">An analytics deliverable earns its cost only if the outputs change what people do. The table below maps each model output to the decision it informs and the team that owns that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Decision context</w:t>
            </w:r>
          </w:p>
        </w:tc>
        <w:tc>
          <w:tcPr>
            <w:tcW w:type="dxa" w:w="6360"/>
            <w:tcBorders>
              <w:top w:val="single" w:color="CCCCCC" w:sz="4"/>
              <w:left w:val="single" w:color="CCCCCC" w:sz="4"/>
              <w:bottom w:val="single" w:color="CCCCCC" w:sz="4"/>
              <w:right w:val="single" w:color="CCCCCC" w:sz="4"/>
            </w:tcBorders>
            <w:shd w:fill="0F7A4D" w:val="clear"/>
            <w:tcMar>
              <w:top w:type="dxa" w:w="140"/>
              <w:left w:type="dxa" w:w="160"/>
              <w:bottom w:type="dxa" w:w="140"/>
              <w:right w:type="dxa" w:w="140"/>
            </w:tcMar>
          </w:tcPr>
          <w:p>
            <w:r>
              <w:rPr>
                <w:rFonts w:ascii="Calibri" w:cs="Calibri" w:eastAsia="Calibri" w:hAnsi="Calibri"/>
                <w:b/>
                <w:bCs/>
                <w:color w:val="FFFFFF"/>
                <w:sz w:val="22"/>
                <w:szCs w:val="22"/>
              </w:rPr>
              <w:t xml:space="preserve">How model output changes the decision</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Recommendation engine</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Replaces generic "people who bought this also bought" with household-specific reorder probabilities; the "buy it again" rail becomes personalised rather than globally popular.</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CRM and push notifications</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Timing and content of outbound messages shift from calendar-driven to due-date-driven, using inter-order gap signals to reach the household when it is actually receptive.</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Merchandising and promotion</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Category managers shift promotional weight away from already-habitual staples and toward adjacencies that are likely to broaden a household’s repertoire — where promotion actually changes behaviour.</w:t>
            </w:r>
          </w:p>
        </w:tc>
      </w:tr>
      <w:tr>
        <w:tc>
          <w:tcPr>
            <w:tcW w:type="dxa" w:w="300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Inventory and fulfilment</w:t>
            </w:r>
          </w:p>
        </w:tc>
        <w:tc>
          <w:tcPr>
            <w:tcW w:type="dxa" w:w="6360"/>
            <w:tcBorders>
              <w:top w:val="single" w:color="CCCCCC" w:sz="4"/>
              <w:left w:val="single" w:color="CCCCCC" w:sz="4"/>
              <w:bottom w:val="single" w:color="CCCCCC" w:sz="4"/>
              <w:right w:val="single" w:color="CCCCCC" w:sz="4"/>
            </w:tcBorders>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Demand anticipation at the household level feeds into aggregate signals that help perishable inventory planning and shopper routing.</w:t>
            </w:r>
          </w:p>
        </w:tc>
      </w:tr>
      <w:tr>
        <w:tc>
          <w:tcPr>
            <w:tcW w:type="dxa" w:w="300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Advertising yield</w:t>
            </w:r>
          </w:p>
        </w:tc>
        <w:tc>
          <w:tcPr>
            <w:tcW w:type="dxa" w:w="6360"/>
            <w:tcBorders>
              <w:top w:val="single" w:color="CCCCCC" w:sz="4"/>
              <w:left w:val="single" w:color="CCCCCC" w:sz="4"/>
              <w:bottom w:val="single" w:color="CCCCCC" w:sz="4"/>
              <w:right w:val="single" w:color="CCCCCC" w:sz="4"/>
            </w:tcBorders>
            <w:shd w:fill="F2F4F6" w:val="clear"/>
            <w:tcMar>
              <w:top w:type="dxa" w:w="140"/>
              <w:left w:type="dxa" w:w="160"/>
              <w:bottom w:type="dxa" w:w="140"/>
              <w:right w:type="dxa" w:w="140"/>
            </w:tcMar>
          </w:tcPr>
          <w:p>
            <w:pPr>
              <w:spacing w:after="0" w:before="0" w:line="280"/>
            </w:pPr>
            <w:r>
              <w:rPr>
                <w:rFonts w:ascii="Calibri" w:cs="Calibri" w:eastAsia="Calibri" w:hAnsi="Calibri"/>
                <w:color w:val="262B35"/>
                <w:sz w:val="21"/>
                <w:szCs w:val="21"/>
              </w:rPr>
              <w:t xml:space="preserve">Better audience profiling — dietary preference, segment membership, lifecycle stage — improves the targeting quality that Instacart sells to CPG partners, the fastest-growing and highest-margin revenue line on the platform.</w:t>
            </w:r>
          </w:p>
        </w:tc>
      </w:tr>
    </w:tbl>
    <w:p>
      <w:pPr>
        <w:pStyle w:val="Heading2"/>
        <w:spacing w:after="120" w:before="280"/>
      </w:pPr>
      <w:r>
        <w:rPr>
          <w:rFonts w:ascii="Calibri" w:cs="Calibri" w:eastAsia="Calibri" w:hAnsi="Calibri"/>
          <w:b/>
          <w:bCs/>
          <w:color w:val="1A1F2E"/>
          <w:sz w:val="26"/>
          <w:szCs w:val="26"/>
        </w:rPr>
        <w:t xml:space="preserve">10.1  Framing the return</w:t>
      </w:r>
    </w:p>
    <w:p>
      <w:pPr>
        <w:spacing w:after="160" w:before="60" w:line="320"/>
        <w:jc w:val="both"/>
      </w:pPr>
      <w:r>
        <w:rPr>
          <w:rFonts w:ascii="Calibri" w:cs="Calibri" w:eastAsia="Calibri" w:hAnsi="Calibri"/>
          <w:color w:val="262B35"/>
          <w:sz w:val="22"/>
          <w:szCs w:val="22"/>
        </w:rPr>
        <w:t xml:space="preserve">A formal ROI case belongs in the close-out deliverable, not the Business Understanding chapter. What the chapter establishes is the order of magnitude. With </w:t>
      </w:r>
      <w:r>
        <w:rPr>
          <w:rFonts w:ascii="Calibri" w:cs="Calibri" w:eastAsia="Calibri" w:hAnsi="Calibri"/>
          <w:b/>
          <w:bCs/>
          <w:color w:val="262B35"/>
          <w:sz w:val="22"/>
          <w:szCs w:val="22"/>
        </w:rPr>
        <w:t xml:space="preserve">294 million orders and $33.5 billion in GTV</w:t>
      </w:r>
      <w:r>
        <w:rPr>
          <w:rFonts w:ascii="Calibri" w:cs="Calibri" w:eastAsia="Calibri" w:hAnsi="Calibri"/>
          <w:color w:val="262B35"/>
          <w:sz w:val="22"/>
          <w:szCs w:val="22"/>
        </w:rPr>
        <w:t xml:space="preserve"> flowing through the platform annually</w:t>
      </w:r>
      <w:r>
        <w:rPr>
          <w:rStyle w:val="FootnoteReference"/>
        </w:rPr>
        <w:footnoteReference w:id="7"/>
      </w:r>
      <w:r>
        <w:rPr>
          <w:rFonts w:ascii="Calibri" w:cs="Calibri" w:eastAsia="Calibri" w:hAnsi="Calibri"/>
          <w:color w:val="262B35"/>
          <w:sz w:val="22"/>
          <w:szCs w:val="22"/>
        </w:rPr>
        <w:t xml:space="preserve">, even modest basket-size or retention improvements — the 5 to 15% revenue uplift range that McKinsey documents for well-executed personalisation</w:t>
      </w:r>
      <w:r>
        <w:rPr>
          <w:rStyle w:val="FootnoteReference"/>
        </w:rPr>
        <w:footnoteReference w:id="5"/>
      </w:r>
      <w:r>
        <w:rPr>
          <w:rFonts w:ascii="Calibri" w:cs="Calibri" w:eastAsia="Calibri" w:hAnsi="Calibri"/>
          <w:color w:val="262B35"/>
          <w:sz w:val="22"/>
          <w:szCs w:val="22"/>
        </w:rPr>
        <w:t xml:space="preserve">, or the 25 to 95% profit sensitivity that Bain attributes to a five-point retention improvement</w:t>
      </w:r>
      <w:r>
        <w:rPr>
          <w:rStyle w:val="FootnoteReference"/>
        </w:rPr>
        <w:footnoteReference w:id="4"/>
      </w:r>
      <w:r>
        <w:rPr>
          <w:rFonts w:ascii="Calibri" w:cs="Calibri" w:eastAsia="Calibri" w:hAnsi="Calibri"/>
          <w:color w:val="262B35"/>
          <w:sz w:val="22"/>
          <w:szCs w:val="22"/>
        </w:rPr>
        <w:t xml:space="preserve"> — translate into impact that dwarfs the cost of the analytics investment by orders of magnitude. The burden of proof on the project is therefore not whether the economics could work, but whether this particular dataset, in the hands of this particular team, can produce a signal strong enough to justify a production build-phase. That is the question the rest of the report addresses.</w:t>
      </w:r>
    </w:p>
    <w:p>
      <w:pPr>
        <w:pStyle w:val="Heading1"/>
        <w:spacing w:after="180" w:before="360"/>
      </w:pPr>
      <w:r>
        <w:rPr>
          <w:rFonts w:ascii="Calibri" w:cs="Calibri" w:eastAsia="Calibri" w:hAnsi="Calibri"/>
          <w:b/>
          <w:bCs/>
          <w:color w:val="1A1F2E"/>
          <w:sz w:val="32"/>
          <w:szCs w:val="32"/>
        </w:rPr>
        <w:t xml:space="preserve">11. What This Chapter Commits Us To</w:t>
      </w:r>
    </w:p>
    <w:p>
      <w:pPr>
        <w:spacing w:after="160" w:before="60" w:line="320"/>
        <w:jc w:val="both"/>
      </w:pPr>
      <w:r>
        <w:rPr>
          <w:rFonts w:ascii="Calibri" w:cs="Calibri" w:eastAsia="Calibri" w:hAnsi="Calibri"/>
          <w:color w:val="262B35"/>
          <w:sz w:val="22"/>
          <w:szCs w:val="22"/>
        </w:rPr>
        <w:t xml:space="preserve">The remainder of the report is a chain of reasoning. The exploratory chapter surfaces the data quality issues and behavioural regularities this chapter predicts the team will find. The feature-engineering chapter builds the three-layer user/product/interaction representation described here. The modelling chapter delivers a reorder classifier that beats a disciplined baseline, and the market-basket chapter surfaces complements worth promoting. The close-out chapter returns to the success criteria defined in Section 4 and reports honestly against them.</w:t>
      </w:r>
    </w:p>
    <w:p>
      <w:pPr>
        <w:spacing w:after="160" w:before="60" w:line="320"/>
        <w:jc w:val="both"/>
      </w:pPr>
      <w:r>
        <w:rPr>
          <w:rFonts w:ascii="Calibri" w:cs="Calibri" w:eastAsia="Calibri" w:hAnsi="Calibri"/>
          <w:color w:val="262B35"/>
          <w:sz w:val="22"/>
          <w:szCs w:val="22"/>
        </w:rPr>
        <w:t xml:space="preserve">Everything that follows should be auditable back to this chapter. If a subsequent analysis drifts into ground this chapter does not anticipate, the chapter should be revised — not bypassed. That discipline is what separates a data-science project from an exploration, and it is the discipline this deliverable is designed to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FE3" w:sz="4"/>
              <w:left w:val="single" w:color="0F7A4D" w:sz="18"/>
              <w:bottom w:val="single" w:color="B8CFE3" w:sz="4"/>
              <w:right w:val="single" w:color="B8CFE3" w:sz="4"/>
            </w:tcBorders>
            <w:shd w:fill="D4EDE0" w:val="clear"/>
            <w:tcMar>
              <w:top w:type="dxa" w:w="180"/>
              <w:left w:type="dxa" w:w="260"/>
              <w:bottom w:type="dxa" w:w="180"/>
              <w:right w:type="dxa" w:w="220"/>
            </w:tcMar>
          </w:tcPr>
          <w:p>
            <w:pPr>
              <w:spacing w:after="80" w:before="0"/>
            </w:pPr>
            <w:r>
              <w:rPr>
                <w:rFonts w:ascii="Calibri" w:cs="Calibri" w:eastAsia="Calibri" w:hAnsi="Calibri"/>
                <w:b/>
                <w:bCs/>
                <w:color w:val="1A1F2E"/>
                <w:sz w:val="22"/>
                <w:szCs w:val="22"/>
              </w:rPr>
              <w:t xml:space="preserve">Bridge to the next chapter</w:t>
            </w:r>
          </w:p>
          <w:p>
            <w:pPr>
              <w:spacing w:after="0" w:before="0" w:line="300"/>
              <w:jc w:val="left"/>
            </w:pPr>
            <w:r>
              <w:rPr>
                <w:rFonts w:ascii="Calibri" w:cs="Calibri" w:eastAsia="Calibri" w:hAnsi="Calibri"/>
                <w:color w:val="262B35"/>
                <w:sz w:val="21"/>
                <w:szCs w:val="21"/>
              </w:rPr>
              <w:t xml:space="preserve">The next chapter — Data Understanding — takes the hypotheses laid out here and confronts them with the dataset. Expect surprises. A dataset that behaves exactly as the business narrative predicts is a dataset that has not been looked at carefully enough.</w:t>
            </w:r>
          </w:p>
        </w:tc>
      </w:tr>
    </w:tbl>
    <w:p>
      <w:r>
        <w:br w:type="page"/>
      </w:r>
    </w:p>
    <w:p>
      <w:pPr>
        <w:pStyle w:val="Heading1"/>
        <w:spacing w:after="180" w:before="360"/>
      </w:pPr>
      <w:r>
        <w:rPr>
          <w:rFonts w:ascii="Calibri" w:cs="Calibri" w:eastAsia="Calibri" w:hAnsi="Calibri"/>
          <w:b/>
          <w:bCs/>
          <w:color w:val="1A1F2E"/>
          <w:sz w:val="32"/>
          <w:szCs w:val="32"/>
        </w:rPr>
        <w:t xml:space="preserve">References</w:t>
      </w:r>
    </w:p>
    <w:p>
      <w:pPr>
        <w:spacing w:after="160" w:before="60" w:line="320"/>
        <w:jc w:val="both"/>
      </w:pPr>
      <w:r>
        <w:rPr>
          <w:rFonts w:ascii="Calibri" w:cs="Calibri" w:eastAsia="Calibri" w:hAnsi="Calibri"/>
          <w:color w:val="262B35"/>
          <w:sz w:val="22"/>
          <w:szCs w:val="22"/>
        </w:rPr>
        <w:t xml:space="preserve">The following sources inform the analytical claims, market sizing, and benchmark figures referenced throughout this chapter. Footnotes in the body refer to the corresponding entries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1.</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Maplebear Inc. (Instacart), Annual Report on Form 10-K for fiscal year ended December 31, 2024. Detailed financials for GTV, orders, revenue, and profitability.</w:t>
            </w:r>
            <w:r>
              <w:rPr>
                <w:rFonts w:ascii="Calibri" w:cs="Calibri" w:eastAsia="Calibri" w:hAnsi="Calibri"/>
                <w:color w:val="7A8C99"/>
                <w:sz w:val="21"/>
                <w:szCs w:val="21"/>
              </w:rPr>
              <w:t xml:space="preserve"> — </w:t>
            </w:r>
            <w:hyperlink w:history="1" r:id="rIdo8gndikt9afclvjso8ngv">
              <w:r>
                <w:rPr>
                  <w:rFonts w:ascii="Calibri" w:cs="Calibri" w:eastAsia="Calibri" w:hAnsi="Calibri"/>
                  <w:color w:val="1F4E79"/>
                  <w:sz w:val="21"/>
                  <w:szCs w:val="21"/>
                  <w:u w:val="single"/>
                </w:rPr>
                <w:t xml:space="preserve">https://investors.instacart.com/</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2.</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Sacra, “Instacart revenue, valuation &amp; funding,” 2025 update. Analysis of take-rate economics, advertising revenue, and market share.</w:t>
            </w:r>
            <w:r>
              <w:rPr>
                <w:rFonts w:ascii="Calibri" w:cs="Calibri" w:eastAsia="Calibri" w:hAnsi="Calibri"/>
                <w:color w:val="7A8C99"/>
                <w:sz w:val="21"/>
                <w:szCs w:val="21"/>
              </w:rPr>
              <w:t xml:space="preserve"> — </w:t>
            </w:r>
            <w:hyperlink w:history="1" r:id="rIdx_7szbl1cxyspohbyqagl">
              <w:r>
                <w:rPr>
                  <w:rFonts w:ascii="Calibri" w:cs="Calibri" w:eastAsia="Calibri" w:hAnsi="Calibri"/>
                  <w:color w:val="1F4E79"/>
                  <w:sz w:val="21"/>
                  <w:szCs w:val="21"/>
                  <w:u w:val="single"/>
                </w:rPr>
                <w:t xml:space="preserve">https://sacra.com/c/instacart/</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3.</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LoyaltyLion, “The Average CAC in Ecommerce,” 2025 benchmarks; SimplicityDX acquisition-loss analysis.</w:t>
            </w:r>
            <w:r>
              <w:rPr>
                <w:rFonts w:ascii="Calibri" w:cs="Calibri" w:eastAsia="Calibri" w:hAnsi="Calibri"/>
                <w:color w:val="7A8C99"/>
                <w:sz w:val="21"/>
                <w:szCs w:val="21"/>
              </w:rPr>
              <w:t xml:space="preserve"> — </w:t>
            </w:r>
            <w:hyperlink w:history="1" r:id="rIdknwnqgfxhb3zi56ghua-0">
              <w:r>
                <w:rPr>
                  <w:rFonts w:ascii="Calibri" w:cs="Calibri" w:eastAsia="Calibri" w:hAnsi="Calibri"/>
                  <w:color w:val="1F4E79"/>
                  <w:sz w:val="21"/>
                  <w:szCs w:val="21"/>
                  <w:u w:val="single"/>
                </w:rPr>
                <w:t xml:space="preserve">https://loyaltylion.com/blog/blog-average-cac-ecommerce</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4.</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Reichheld, F. &amp; Schefter, P., “E-Loyalty: Your Secret Weapon on the Web,” Harvard Business Review; Bain &amp; Company analyses of customer retention economics and the 5% retention → 25–95% profit sensitivity.</w:t>
            </w:r>
            <w:r>
              <w:rPr>
                <w:rFonts w:ascii="Calibri" w:cs="Calibri" w:eastAsia="Calibri" w:hAnsi="Calibri"/>
                <w:color w:val="7A8C99"/>
                <w:sz w:val="21"/>
                <w:szCs w:val="21"/>
              </w:rPr>
              <w:t xml:space="preserve"> — </w:t>
            </w:r>
            <w:hyperlink w:history="1" r:id="rIdqwyzcddsjxfawl9e3qoq9">
              <w:r>
                <w:rPr>
                  <w:rFonts w:ascii="Calibri" w:cs="Calibri" w:eastAsia="Calibri" w:hAnsi="Calibri"/>
                  <w:color w:val="1F4E79"/>
                  <w:sz w:val="21"/>
                  <w:szCs w:val="21"/>
                  <w:u w:val="single"/>
                </w:rPr>
                <w:t xml:space="preserve">https://hbr.org/2000/07/e-loyalty-your-secret-weapon-on-the-web</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5.</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McKinsey &amp; Company, “The value of getting personalization right — or wrong — is multiplying,” November 2021.</w:t>
            </w:r>
            <w:r>
              <w:rPr>
                <w:rFonts w:ascii="Calibri" w:cs="Calibri" w:eastAsia="Calibri" w:hAnsi="Calibri"/>
                <w:color w:val="7A8C99"/>
                <w:sz w:val="21"/>
                <w:szCs w:val="21"/>
              </w:rPr>
              <w:t xml:space="preserve"> — </w:t>
            </w:r>
            <w:hyperlink w:history="1" r:id="rIdfwex_kbgkhq3s0zhpxpga">
              <w:r>
                <w:rPr>
                  <w:rFonts w:ascii="Calibri" w:cs="Calibri" w:eastAsia="Calibri" w:hAnsi="Calibri"/>
                  <w:color w:val="1F4E79"/>
                  <w:sz w:val="21"/>
                  <w:szCs w:val="21"/>
                  <w:u w:val="single"/>
                </w:rPr>
                <w:t xml:space="preserve">https://www.mckinsey.com/capabilities/growth-marketing-and-sales/our-insights/the-value-of-getting-personalization-right-or-wrong-is-multiplying</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6.</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Kaggle, “Instacart Market Basket Analysis,” competition dataset and description.</w:t>
            </w:r>
            <w:r>
              <w:rPr>
                <w:rFonts w:ascii="Calibri" w:cs="Calibri" w:eastAsia="Calibri" w:hAnsi="Calibri"/>
                <w:color w:val="7A8C99"/>
                <w:sz w:val="21"/>
                <w:szCs w:val="21"/>
              </w:rPr>
              <w:t xml:space="preserve"> — </w:t>
            </w:r>
            <w:hyperlink w:history="1" r:id="rIdrpi_2e7gms3qu4y15fo7j">
              <w:r>
                <w:rPr>
                  <w:rFonts w:ascii="Calibri" w:cs="Calibri" w:eastAsia="Calibri" w:hAnsi="Calibri"/>
                  <w:color w:val="1F4E79"/>
                  <w:sz w:val="21"/>
                  <w:szCs w:val="21"/>
                  <w:u w:val="single"/>
                </w:rPr>
                <w:t xml:space="preserve">https://www.kaggle.com/datasets/psparks/instacart-market-basket-analysis</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7.</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Progressive Grocer, “How Did Instacart Fare in Q4, FY24?”, February 2025; Maplebear Inc. Q4 2024 shareholder letter.</w:t>
            </w:r>
            <w:r>
              <w:rPr>
                <w:rFonts w:ascii="Calibri" w:cs="Calibri" w:eastAsia="Calibri" w:hAnsi="Calibri"/>
                <w:color w:val="7A8C99"/>
                <w:sz w:val="21"/>
                <w:szCs w:val="21"/>
              </w:rPr>
              <w:t xml:space="preserve"> — </w:t>
            </w:r>
            <w:hyperlink w:history="1" r:id="rIdtcx8wjzlg9mz_yprd3qyd">
              <w:r>
                <w:rPr>
                  <w:rFonts w:ascii="Calibri" w:cs="Calibri" w:eastAsia="Calibri" w:hAnsi="Calibri"/>
                  <w:color w:val="1F4E79"/>
                  <w:sz w:val="21"/>
                  <w:szCs w:val="21"/>
                  <w:u w:val="single"/>
                </w:rPr>
                <w:t xml:space="preserve">https://progressivegrocer.com/how-did-instacart-fare-q4-fy24</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8.</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Business of Apps, “Instacart Revenue and Usage Statistics,” 2026 update — ancillary platform-scale statistics.</w:t>
            </w:r>
            <w:r>
              <w:rPr>
                <w:rFonts w:ascii="Calibri" w:cs="Calibri" w:eastAsia="Calibri" w:hAnsi="Calibri"/>
                <w:color w:val="7A8C99"/>
                <w:sz w:val="21"/>
                <w:szCs w:val="21"/>
              </w:rPr>
              <w:t xml:space="preserve"> — </w:t>
            </w:r>
            <w:hyperlink w:history="1" r:id="rIdbduavbwuathf8knecfm9r">
              <w:r>
                <w:rPr>
                  <w:rFonts w:ascii="Calibri" w:cs="Calibri" w:eastAsia="Calibri" w:hAnsi="Calibri"/>
                  <w:color w:val="1F4E79"/>
                  <w:sz w:val="21"/>
                  <w:szCs w:val="21"/>
                  <w:u w:val="single"/>
                </w:rPr>
                <w:t xml:space="preserve">https://www.businessofapps.com/data/instacart-statistics/</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9.</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eMarketer / Insider Intelligence — U.S. online grocery market sizing and penetration estimates.</w:t>
            </w:r>
            <w:r>
              <w:rPr>
                <w:rFonts w:ascii="Calibri" w:cs="Calibri" w:eastAsia="Calibri" w:hAnsi="Calibri"/>
                <w:color w:val="7A8C99"/>
                <w:sz w:val="21"/>
                <w:szCs w:val="21"/>
              </w:rPr>
              <w:t xml:space="preserve"> — </w:t>
            </w:r>
            <w:hyperlink w:history="1" r:id="rIdjxa-f50bkit3duuz8up54">
              <w:r>
                <w:rPr>
                  <w:rFonts w:ascii="Calibri" w:cs="Calibri" w:eastAsia="Calibri" w:hAnsi="Calibri"/>
                  <w:color w:val="1F4E79"/>
                  <w:sz w:val="21"/>
                  <w:szCs w:val="21"/>
                  <w:u w:val="single"/>
                </w:rPr>
                <w:t xml:space="preserve">https://www.emarketer.com/</w:t>
              </w:r>
            </w:hyperlink>
          </w:p>
        </w:tc>
      </w:tr>
      <w:tr>
        <w:tc>
          <w:tcPr>
            <w:tcW w:type="dxa" w:w="600"/>
            <w:tcBorders>
              <w:top w:val="none" w:color="FFFFFF" w:sz="0"/>
              <w:left w:val="none" w:color="FFFFFF" w:sz="0"/>
              <w:bottom w:val="single" w:color="EEEEEE" w:sz="4"/>
              <w:right w:val="none" w:color="FFFFFF" w:sz="0"/>
            </w:tcBorders>
            <w:tcMar>
              <w:top w:type="dxa" w:w="100"/>
              <w:left w:type="dxa" w:w="0"/>
              <w:bottom w:type="dxa" w:w="100"/>
              <w:right w:type="dxa" w:w="80"/>
            </w:tcMar>
          </w:tcPr>
          <w:p>
            <w:r>
              <w:rPr>
                <w:rFonts w:ascii="Calibri" w:cs="Calibri" w:eastAsia="Calibri" w:hAnsi="Calibri"/>
                <w:b/>
                <w:bCs/>
                <w:color w:val="0F7A4D"/>
                <w:sz w:val="22"/>
                <w:szCs w:val="22"/>
              </w:rPr>
              <w:t xml:space="preserve">10.</w:t>
            </w:r>
          </w:p>
        </w:tc>
        <w:tc>
          <w:tcPr>
            <w:tcW w:type="dxa" w:w="8760"/>
            <w:tcBorders>
              <w:top w:val="none" w:color="FFFFFF" w:sz="0"/>
              <w:left w:val="none" w:color="FFFFFF" w:sz="0"/>
              <w:bottom w:val="single" w:color="EEEEEE" w:sz="4"/>
              <w:right w:val="none" w:color="FFFFFF" w:sz="0"/>
            </w:tcBorders>
            <w:tcMar>
              <w:top w:type="dxa" w:w="100"/>
              <w:left w:type="dxa" w:w="0"/>
              <w:bottom w:type="dxa" w:w="100"/>
              <w:right w:type="dxa" w:w="0"/>
            </w:tcMar>
          </w:tcPr>
          <w:p>
            <w:pPr>
              <w:spacing w:after="0" w:before="0" w:line="280"/>
            </w:pPr>
            <w:r>
              <w:rPr>
                <w:rFonts w:ascii="Calibri" w:cs="Calibri" w:eastAsia="Calibri" w:hAnsi="Calibri"/>
                <w:color w:val="262B35"/>
                <w:sz w:val="21"/>
                <w:szCs w:val="21"/>
              </w:rPr>
              <w:t xml:space="preserve">Anchor Group, “34 Retail Customer Retention Statistics,” 2026 — retention multiplier benchmarks.</w:t>
            </w:r>
            <w:r>
              <w:rPr>
                <w:rFonts w:ascii="Calibri" w:cs="Calibri" w:eastAsia="Calibri" w:hAnsi="Calibri"/>
                <w:color w:val="7A8C99"/>
                <w:sz w:val="21"/>
                <w:szCs w:val="21"/>
              </w:rPr>
              <w:t xml:space="preserve"> — </w:t>
            </w:r>
            <w:hyperlink w:history="1" r:id="rIdqpty4qpuobe8zmbw6pmkl">
              <w:r>
                <w:rPr>
                  <w:rFonts w:ascii="Calibri" w:cs="Calibri" w:eastAsia="Calibri" w:hAnsi="Calibri"/>
                  <w:color w:val="1F4E79"/>
                  <w:sz w:val="21"/>
                  <w:szCs w:val="21"/>
                  <w:u w:val="single"/>
                </w:rPr>
                <w:t xml:space="preserve">https://www.anchorgroup.tech/blog/retail-customer-retention-statistics</w:t>
              </w:r>
            </w:hyperlink>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7A8C99"/>
        <w:sz w:val="18"/>
        <w:szCs w:val="18"/>
      </w:rPr>
      <w:t xml:space="preserve">Predictive Cart Intelligence</w:t>
    </w:r>
    <w:r>
      <w:rPr>
        <w:rFonts w:ascii="Calibri" w:cs="Calibri" w:eastAsia="Calibri" w:hAnsi="Calibri"/>
        <w:color w:val="7A8C99"/>
        <w:sz w:val="18"/>
        <w:szCs w:val="18"/>
      </w:rPr>
      <w:t xml:space="preserve">	Page </w:t>
    </w:r>
    <w:r>
      <w:rPr>
        <w:rFonts w:ascii="Calibri" w:cs="Calibri" w:eastAsia="Calibri" w:hAnsi="Calibri"/>
        <w:color w:val="7A8C99"/>
        <w:sz w:val="18"/>
        <w:szCs w:val="18"/>
      </w:rPr>
      <w:fldChar w:fldCharType="begin"/>
      <w:instrText xml:space="preserve">PAGE</w:instrText>
      <w:fldChar w:fldCharType="separate"/>
      <w:fldChar w:fldCharType="end"/>
    </w:r>
    <w:r>
      <w:rPr>
        <w:rFonts w:ascii="Calibri" w:cs="Calibri" w:eastAsia="Calibri" w:hAnsi="Calibri"/>
        <w:color w:val="7A8C99"/>
        <w:sz w:val="18"/>
        <w:szCs w:val="18"/>
      </w:rPr>
      <w:t xml:space="preserve"> of </w:t>
    </w:r>
    <w:r>
      <w:rPr>
        <w:rFonts w:ascii="Calibri" w:cs="Calibri" w:eastAsia="Calibri" w:hAnsi="Calibri"/>
        <w:color w:val="7A8C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color w:val="262B35"/>
          <w:sz w:val="18"/>
          <w:szCs w:val="18"/>
        </w:rPr>
        <w:t xml:space="preserve">Maplebear Inc. (Instacart), Form 10-K, fiscal year ended December 31, 2024.</w:t>
      </w:r>
    </w:p>
  </w:footnote>
  <w:footnote w:id="2">
    <w:p>
      <w:r>
        <w:rPr>
          <w:rStyle w:val="FootnoteReference"/>
        </w:rPr>
        <w:footnoteRef/>
      </w:r>
      <w:r>
        <w:rPr>
          <w:rFonts w:ascii="Calibri" w:cs="Calibri" w:eastAsia="Calibri" w:hAnsi="Calibri"/>
          <w:color w:val="262B35"/>
          <w:sz w:val="18"/>
          <w:szCs w:val="18"/>
        </w:rPr>
        <w:t xml:space="preserve">Sacra, “Instacart revenue, valuation &amp; funding,” 2025.</w:t>
      </w:r>
    </w:p>
  </w:footnote>
  <w:footnote w:id="3">
    <w:p>
      <w:r>
        <w:rPr>
          <w:rStyle w:val="FootnoteReference"/>
        </w:rPr>
        <w:footnoteRef/>
      </w:r>
      <w:r>
        <w:rPr>
          <w:rFonts w:ascii="Calibri" w:cs="Calibri" w:eastAsia="Calibri" w:hAnsi="Calibri"/>
          <w:color w:val="262B35"/>
          <w:sz w:val="18"/>
          <w:szCs w:val="18"/>
        </w:rPr>
        <w:t xml:space="preserve">LoyaltyLion, “The Average CAC in Ecommerce,” 2025; SimplicityDX acquisition-loss analysis.</w:t>
      </w:r>
    </w:p>
  </w:footnote>
  <w:footnote w:id="4">
    <w:p>
      <w:r>
        <w:rPr>
          <w:rStyle w:val="FootnoteReference"/>
        </w:rPr>
        <w:footnoteRef/>
      </w:r>
      <w:r>
        <w:rPr>
          <w:rFonts w:ascii="Calibri" w:cs="Calibri" w:eastAsia="Calibri" w:hAnsi="Calibri"/>
          <w:color w:val="262B35"/>
          <w:sz w:val="18"/>
          <w:szCs w:val="18"/>
        </w:rPr>
        <w:t xml:space="preserve">Bain &amp; Company / Harvard Business Review, Reichheld, F., “The Loyalty Effect,” and subsequent analyses of retention economics.</w:t>
      </w:r>
    </w:p>
  </w:footnote>
  <w:footnote w:id="5">
    <w:p>
      <w:r>
        <w:rPr>
          <w:rStyle w:val="FootnoteReference"/>
        </w:rPr>
        <w:footnoteRef/>
      </w:r>
      <w:r>
        <w:rPr>
          <w:rFonts w:ascii="Calibri" w:cs="Calibri" w:eastAsia="Calibri" w:hAnsi="Calibri"/>
          <w:color w:val="262B35"/>
          <w:sz w:val="18"/>
          <w:szCs w:val="18"/>
        </w:rPr>
        <w:t xml:space="preserve">McKinsey &amp; Company, “The value of getting personalization right — or wrong — is multiplying,” 2021.</w:t>
      </w:r>
    </w:p>
  </w:footnote>
  <w:footnote w:id="6">
    <w:p>
      <w:r>
        <w:rPr>
          <w:rStyle w:val="FootnoteReference"/>
        </w:rPr>
        <w:footnoteRef/>
      </w:r>
      <w:r>
        <w:rPr>
          <w:rFonts w:ascii="Calibri" w:cs="Calibri" w:eastAsia="Calibri" w:hAnsi="Calibri"/>
          <w:color w:val="262B35"/>
          <w:sz w:val="18"/>
          <w:szCs w:val="18"/>
        </w:rPr>
        <w:t xml:space="preserve">Kaggle, “Instacart Market Basket Analysis” competition dataset.</w:t>
      </w:r>
    </w:p>
  </w:footnote>
  <w:footnote w:id="7">
    <w:p>
      <w:r>
        <w:rPr>
          <w:rStyle w:val="FootnoteReference"/>
        </w:rPr>
        <w:footnoteRef/>
      </w:r>
      <w:r>
        <w:rPr>
          <w:rFonts w:ascii="Calibri" w:cs="Calibri" w:eastAsia="Calibri" w:hAnsi="Calibri"/>
          <w:color w:val="262B35"/>
          <w:sz w:val="18"/>
          <w:szCs w:val="18"/>
        </w:rPr>
        <w:t xml:space="preserve">Progressive Grocer, “How Did Instacart Fare in Q4, FY24?” February 2025; Maplebear Inc. Q4 2024 shareholder letter.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i/>
        <w:iCs/>
        <w:color w:val="7A8C99"/>
        <w:sz w:val="18"/>
        <w:szCs w:val="18"/>
      </w:rPr>
      <w:t xml:space="preserve">The Retail Oracle · Business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A4D" w:sz="18" w:space="6"/>
      </w:pBdr>
      <w:spacing w:after="180" w:before="360"/>
      <w:outlineLvl w:val="0"/>
    </w:pPr>
    <w:rPr>
      <w:rFonts w:ascii="Calibri" w:cs="Calibri" w:eastAsia="Calibri" w:hAnsi="Calibri"/>
      <w:b/>
      <w:bCs/>
      <w:color w:val="1A1F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A1F2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7A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8gndikt9afclvjso8ngv" Type="http://schemas.openxmlformats.org/officeDocument/2006/relationships/hyperlink" Target="https://investors.instacart.com/" TargetMode="External"/><Relationship Id="rIdx_7szbl1cxyspohbyqagl" Type="http://schemas.openxmlformats.org/officeDocument/2006/relationships/hyperlink" Target="https://sacra.com/c/instacart/" TargetMode="External"/><Relationship Id="rIdknwnqgfxhb3zi56ghua-0" Type="http://schemas.openxmlformats.org/officeDocument/2006/relationships/hyperlink" Target="https://loyaltylion.com/blog/blog-average-cac-ecommerce" TargetMode="External"/><Relationship Id="rIdqwyzcddsjxfawl9e3qoq9" Type="http://schemas.openxmlformats.org/officeDocument/2006/relationships/hyperlink" Target="https://hbr.org/2000/07/e-loyalty-your-secret-weapon-on-the-web" TargetMode="External"/><Relationship Id="rIdfwex_kbgkhq3s0zhpxpga" Type="http://schemas.openxmlformats.org/officeDocument/2006/relationships/hyperlink" Target="https://www.mckinsey.com/capabilities/growth-marketing-and-sales/our-insights/the-value-of-getting-personalization-right-or-wrong-is-multiplying" TargetMode="External"/><Relationship Id="rIdrpi_2e7gms3qu4y15fo7j" Type="http://schemas.openxmlformats.org/officeDocument/2006/relationships/hyperlink" Target="https://www.kaggle.com/datasets/psparks/instacart-market-basket-analysis" TargetMode="External"/><Relationship Id="rIdtcx8wjzlg9mz_yprd3qyd" Type="http://schemas.openxmlformats.org/officeDocument/2006/relationships/hyperlink" Target="https://progressivegrocer.com/how-did-instacart-fare-q4-fy24" TargetMode="External"/><Relationship Id="rIdbduavbwuathf8knecfm9r" Type="http://schemas.openxmlformats.org/officeDocument/2006/relationships/hyperlink" Target="https://www.businessofapps.com/data/instacart-statistics/" TargetMode="External"/><Relationship Id="rIdjxa-f50bkit3duuz8up54" Type="http://schemas.openxmlformats.org/officeDocument/2006/relationships/hyperlink" Target="https://www.emarketer.com/" TargetMode="External"/><Relationship Id="rIdqpty4qpuobe8zmbw6pmkl" Type="http://schemas.openxmlformats.org/officeDocument/2006/relationships/hyperlink" Target="https://www.anchorgroup.tech/blog/retail-customer-retention-statistic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dc:creator>
  <dc:description> </dc:description>
  <cp:lastModifiedBy> </cp:lastModifiedBy>
  <cp:revision>1</cp:revision>
  <dcterms:created xsi:type="dcterms:W3CDTF">2026-04-20T11:08:14.874Z</dcterms:created>
  <dcterms:modified xsi:type="dcterms:W3CDTF">2026-04-20T11:08:14.875Z</dcterms:modified>
</cp:coreProperties>
</file>

<file path=docProps/custom.xml><?xml version="1.0" encoding="utf-8"?>
<Properties xmlns="http://schemas.openxmlformats.org/officeDocument/2006/custom-properties" xmlns:vt="http://schemas.openxmlformats.org/officeDocument/2006/docPropsVTypes"/>
</file>