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2A57B8"/>
          <w:sz w:val="76"/>
        </w:rPr>
        <w:t>OEST</w:t>
      </w:r>
    </w:p>
    <w:p>
      <w:pPr>
        <w:jc w:val="center"/>
      </w:pPr>
      <w:r>
        <w:rPr>
          <w:rFonts w:ascii="Arial" w:hAnsi="Arial"/>
          <w:b/>
          <w:color w:val="111111"/>
          <w:sz w:val="48"/>
        </w:rPr>
        <w:t>DOSSIE MASTER DA LANDING PAGE</w:t>
      </w:r>
    </w:p>
    <w:p>
      <w:pPr>
        <w:jc w:val="center"/>
      </w:pPr>
      <w:r>
        <w:rPr>
          <w:color w:val="505050"/>
          <w:sz w:val="22"/>
        </w:rPr>
        <w:t>Reverse Engineering de UI/UX · Hierarquia · Grid · Tipografia · Componentes · Imagens · Motion · Responsividade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11820"/>
          </w:tcPr>
          <w:p>
            <w:pPr>
              <w:jc w:val="center"/>
            </w:pPr>
            <w:r>
              <w:rPr>
                <w:b w:val="0"/>
                <w:color w:val="FFFFFF"/>
                <w:sz w:val="18"/>
              </w:rPr>
              <w:t>REFERENCIA VISUAL</w:t>
            </w:r>
            <w:r>
              <w:rPr>
                <w:b/>
                <w:color w:val="FFFFFF"/>
                <w:sz w:val="40"/>
              </w:rPr>
              <w:br/>
              <w:t>GLOBHE — Reality Data Marketplace</w:t>
            </w:r>
            <w:r>
              <w:rPr>
                <w:b w:val="0"/>
                <w:color w:val="CAD7F6"/>
                <w:sz w:val="22"/>
              </w:rPr>
              <w:br/>
              <w:t>Blueprint adaptado para OEST — Drone as a Service</w:t>
            </w:r>
          </w:p>
        </w:tc>
      </w:tr>
    </w:tbl>
    <w:p/>
    <w:p>
      <w:pPr>
        <w:jc w:val="center"/>
      </w:pPr>
      <w:r>
        <w:rPr>
          <w:color w:val="5A5A5A"/>
          <w:sz w:val="18"/>
        </w:rPr>
        <w:t>Documento de especificacao para Design, Frontend, Produto e Agentes de Codigo</w:t>
      </w:r>
    </w:p>
    <w:p>
      <w:r>
        <w:br w:type="page"/>
      </w:r>
    </w:p>
    <w:p>
      <w:pPr>
        <w:pStyle w:val="Heading1"/>
      </w:pPr>
      <w:r>
        <w:rPr>
          <w:color w:val="111111"/>
        </w:rPr>
        <w:t>1. Escopo e metodo de leitura</w:t>
      </w:r>
    </w:p>
    <w:p>
      <w:pPr>
        <w:pStyle w:val="BodyText"/>
      </w:pPr>
      <w:r>
        <w:t>Este dossie desmonta a landing page de referencia como um sistema de design: proporcoes, hierarquia, ritmo vertical, densidade, grid, tipografia, comportamento visual, componentes, fotografia, contraste, fluxo narrativo e principios de conversao. A analise combina medicao do screenshot fornecido com leitura da estrutura publica da pagina de referencia.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2A57B8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EEF3F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Precisao</w:t>
              <w:br/>
            </w:r>
            <w:r>
              <w:rPr>
                <w:color w:val="3C3C3C"/>
                <w:sz w:val="18"/>
              </w:rPr>
              <w:t>Dimensoes em pixels sao especificacoes inferidas a partir do screenshot e normalizadas para um desktop de 1440 px. O screenshot nao permite provar o valor CSS exato nem identificar com certeza a familia tipografica. Quando houver inferencia, ela esta marcada como tal.</w:t>
            </w:r>
          </w:p>
        </w:tc>
      </w:tr>
    </w:tbl>
    <w:p>
      <w:pPr>
        <w:spacing w:after="0"/>
      </w:pPr>
    </w:p>
    <w:p>
      <w:pPr>
        <w:pStyle w:val="BodyText"/>
      </w:pPr>
      <w:r>
        <w:t>A referencia organiza a proposta de valor em uma sequencia muito clara: realidade/dados no hero; captura sob demanda; plataforma; prova visual; escalabilidade; processo; cobertura; clientes; conversao; FAQ; footer. Essa logica e mais importante do que copiar literalmente a aparencia.</w:t>
      </w:r>
    </w:p>
    <w:p>
      <w:pPr>
        <w:pStyle w:val="Heading1"/>
      </w:pPr>
      <w:r>
        <w:rPr>
          <w:color w:val="111111"/>
        </w:rPr>
        <w:t>2. Screenshot de referencia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043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mosa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43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Figura 1 — Referencia visual analisada em quatro trechos para leitura do fluxo completo (screenshot original: 515 × 2048 px).</w:t>
      </w:r>
    </w:p>
    <w:p>
      <w:r>
        <w:br w:type="page"/>
      </w:r>
    </w:p>
    <w:p>
      <w:pPr>
        <w:pStyle w:val="Heading1"/>
      </w:pPr>
      <w:r>
        <w:rPr>
          <w:color w:val="111111"/>
        </w:rPr>
        <w:t>3. DNA visual da 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Dimensao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Leitura da referencia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Aplicacao OEST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Personalidade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Editorial-tech, objetiva, crua, confiante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Enterprise, tecnologica, operacional, segura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Composicao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Grandes blocos horizontais e ritmo de poster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Secoes modulares full-width com grid consistente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Contraste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Branco + grafite + acentos neon violeta/lima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Azul OEST + branco/gelo + verde + amarelo pontual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Tipografia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Grotesk pesada, headlines grandes, tracking compacto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Grotesk/neo-grotesk bold para titulos; sans neutra para UI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Imagem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Recortes de plataforma + fotografia cinematografica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Interfaces reais + operacao urbana/industrial + drones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Densidade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Baixa densidade, muito respiro, poucas mensagens por bloco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Mesma disciplina; 1 ideia principal por secao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Narrativa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Problema → plataforma → prova → processo → escala → confianca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Demanda → matching → missao → dados → integracao → escala</w:t>
            </w:r>
          </w:p>
        </w:tc>
      </w:tr>
    </w:tbl>
    <w:p/>
    <w:p>
      <w:pPr>
        <w:pStyle w:val="Heading1"/>
      </w:pPr>
      <w:r>
        <w:rPr>
          <w:color w:val="111111"/>
        </w:rPr>
        <w:t>4. Macroestrutura e ritmo vertical</w:t>
      </w:r>
    </w:p>
    <w:p>
      <w:pPr>
        <w:pStyle w:val="BodyText"/>
      </w:pPr>
      <w:r>
        <w:t>No screenshot de 515 × 2048 px, os principais cortes visuais aparecem aproximadamente nas coordenadas abaixo. Ao normalizar para 1440 px de largura, a altura equivalente e multiplicada por ~2,80. O objetivo nao e reproduzir a altura absoluta, mas preservar a cadencia.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944"/>
            <w:shd w:fill="111820"/>
          </w:tcPr>
          <w:p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1728"/>
            <w:shd w:fill="111820"/>
          </w:tcPr>
          <w:p>
            <w:r>
              <w:rPr>
                <w:b/>
                <w:color w:val="FFFFFF"/>
                <w:sz w:val="16"/>
              </w:rPr>
              <w:t>Faixa screenshot</w:t>
            </w:r>
          </w:p>
        </w:tc>
        <w:tc>
          <w:tcPr>
            <w:tcW w:type="dxa" w:w="2088"/>
            <w:shd w:fill="111820"/>
          </w:tcPr>
          <w:p>
            <w:r>
              <w:rPr>
                <w:b/>
                <w:color w:val="FFFFFF"/>
                <w:sz w:val="16"/>
              </w:rPr>
              <w:t>Altura equivalente 1440</w:t>
            </w:r>
          </w:p>
        </w:tc>
        <w:tc>
          <w:tcPr>
            <w:tcW w:type="dxa" w:w="3456"/>
            <w:shd w:fill="111820"/>
          </w:tcPr>
          <w:p>
            <w:r>
              <w:rPr>
                <w:b/>
                <w:color w:val="FFFFFF"/>
                <w:sz w:val="16"/>
              </w:rPr>
              <w:t>Papel visual</w:t>
            </w:r>
          </w:p>
        </w:tc>
      </w:tr>
      <w:tr>
        <w:tc>
          <w:tcPr>
            <w:tcW w:type="dxa" w:w="1944"/>
            <w:shd w:fill="F4F6F8"/>
          </w:tcPr>
          <w:p>
            <w:r>
              <w:rPr>
                <w:sz w:val="16"/>
              </w:rPr>
              <w:t>Header + Hero</w:t>
            </w:r>
          </w:p>
        </w:tc>
        <w:tc>
          <w:tcPr>
            <w:tcW w:type="dxa" w:w="1728"/>
            <w:shd w:fill="F4F6F8"/>
          </w:tcPr>
          <w:p>
            <w:r>
              <w:rPr>
                <w:sz w:val="16"/>
              </w:rPr>
              <w:t>0–260 px</w:t>
            </w:r>
          </w:p>
        </w:tc>
        <w:tc>
          <w:tcPr>
            <w:tcW w:type="dxa" w:w="2088"/>
            <w:shd w:fill="F4F6F8"/>
          </w:tcPr>
          <w:p>
            <w:r>
              <w:rPr>
                <w:sz w:val="16"/>
              </w:rPr>
              <w:t>~730 px</w:t>
            </w:r>
          </w:p>
        </w:tc>
        <w:tc>
          <w:tcPr>
            <w:tcW w:type="dxa" w:w="3456"/>
            <w:shd w:fill="F4F6F8"/>
          </w:tcPr>
          <w:p>
            <w:r>
              <w:rPr>
                <w:sz w:val="16"/>
              </w:rPr>
              <w:t>White / imagem / composicao assimetrica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Plataforma / Devices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260–585 px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~910 px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Fundo gelo, headline central + mockups</w:t>
            </w:r>
          </w:p>
        </w:tc>
      </w:tr>
      <w:tr>
        <w:tc>
          <w:tcPr>
            <w:tcW w:type="dxa" w:w="1944"/>
            <w:shd w:fill="F4F6F8"/>
          </w:tcPr>
          <w:p>
            <w:r>
              <w:rPr>
                <w:sz w:val="16"/>
              </w:rPr>
              <w:t>Media hero / turbine</w:t>
            </w:r>
          </w:p>
        </w:tc>
        <w:tc>
          <w:tcPr>
            <w:tcW w:type="dxa" w:w="1728"/>
            <w:shd w:fill="F4F6F8"/>
          </w:tcPr>
          <w:p>
            <w:r>
              <w:rPr>
                <w:sz w:val="16"/>
              </w:rPr>
              <w:t>585–765 px</w:t>
            </w:r>
          </w:p>
        </w:tc>
        <w:tc>
          <w:tcPr>
            <w:tcW w:type="dxa" w:w="2088"/>
            <w:shd w:fill="F4F6F8"/>
          </w:tcPr>
          <w:p>
            <w:r>
              <w:rPr>
                <w:sz w:val="16"/>
              </w:rPr>
              <w:t>~500 px</w:t>
            </w:r>
          </w:p>
        </w:tc>
        <w:tc>
          <w:tcPr>
            <w:tcW w:type="dxa" w:w="3456"/>
            <w:shd w:fill="F4F6F8"/>
          </w:tcPr>
          <w:p>
            <w:r>
              <w:rPr>
                <w:sz w:val="16"/>
              </w:rPr>
              <w:t>Imagem full-bleed, dramatic crop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Valor / escalabilidade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765–895 px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~360 px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Grafite, 3 colunas</w:t>
            </w:r>
          </w:p>
        </w:tc>
      </w:tr>
      <w:tr>
        <w:tc>
          <w:tcPr>
            <w:tcW w:type="dxa" w:w="1944"/>
            <w:shd w:fill="F4F6F8"/>
          </w:tcPr>
          <w:p>
            <w:r>
              <w:rPr>
                <w:sz w:val="16"/>
              </w:rPr>
              <w:t>How it works</w:t>
            </w:r>
          </w:p>
        </w:tc>
        <w:tc>
          <w:tcPr>
            <w:tcW w:type="dxa" w:w="1728"/>
            <w:shd w:fill="F4F6F8"/>
          </w:tcPr>
          <w:p>
            <w:r>
              <w:rPr>
                <w:sz w:val="16"/>
              </w:rPr>
              <w:t>895–1115 px</w:t>
            </w:r>
          </w:p>
        </w:tc>
        <w:tc>
          <w:tcPr>
            <w:tcW w:type="dxa" w:w="2088"/>
            <w:shd w:fill="F4F6F8"/>
          </w:tcPr>
          <w:p>
            <w:r>
              <w:rPr>
                <w:sz w:val="16"/>
              </w:rPr>
              <w:t>~615 px</w:t>
            </w:r>
          </w:p>
        </w:tc>
        <w:tc>
          <w:tcPr>
            <w:tcW w:type="dxa" w:w="3456"/>
            <w:shd w:fill="F4F6F8"/>
          </w:tcPr>
          <w:p>
            <w:r>
              <w:rPr>
                <w:sz w:val="16"/>
              </w:rPr>
              <w:t>Grafite + 5 cards verticais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Global reach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1115–1390 px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~770 px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Branco, mapa dominante</w:t>
            </w:r>
          </w:p>
        </w:tc>
      </w:tr>
      <w:tr>
        <w:tc>
          <w:tcPr>
            <w:tcW w:type="dxa" w:w="1944"/>
            <w:shd w:fill="F4F6F8"/>
          </w:tcPr>
          <w:p>
            <w:r>
              <w:rPr>
                <w:sz w:val="16"/>
              </w:rPr>
              <w:t>Our users</w:t>
            </w:r>
          </w:p>
        </w:tc>
        <w:tc>
          <w:tcPr>
            <w:tcW w:type="dxa" w:w="1728"/>
            <w:shd w:fill="F4F6F8"/>
          </w:tcPr>
          <w:p>
            <w:r>
              <w:rPr>
                <w:sz w:val="16"/>
              </w:rPr>
              <w:t>1390–1605 px</w:t>
            </w:r>
          </w:p>
        </w:tc>
        <w:tc>
          <w:tcPr>
            <w:tcW w:type="dxa" w:w="2088"/>
            <w:shd w:fill="F4F6F8"/>
          </w:tcPr>
          <w:p>
            <w:r>
              <w:rPr>
                <w:sz w:val="16"/>
              </w:rPr>
              <w:t>~600 px</w:t>
            </w:r>
          </w:p>
        </w:tc>
        <w:tc>
          <w:tcPr>
            <w:tcW w:type="dxa" w:w="3456"/>
            <w:shd w:fill="F4F6F8"/>
          </w:tcPr>
          <w:p>
            <w:r>
              <w:rPr>
                <w:sz w:val="16"/>
              </w:rPr>
              <w:t>Branco, logos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Make the switch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1605–1685 px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~225 px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CTA minimal</w:t>
            </w:r>
          </w:p>
        </w:tc>
      </w:tr>
      <w:tr>
        <w:tc>
          <w:tcPr>
            <w:tcW w:type="dxa" w:w="1944"/>
            <w:shd w:fill="F4F6F8"/>
          </w:tcPr>
          <w:p>
            <w:r>
              <w:rPr>
                <w:sz w:val="16"/>
              </w:rPr>
              <w:t>FAQ</w:t>
            </w:r>
          </w:p>
        </w:tc>
        <w:tc>
          <w:tcPr>
            <w:tcW w:type="dxa" w:w="1728"/>
            <w:shd w:fill="F4F6F8"/>
          </w:tcPr>
          <w:p>
            <w:r>
              <w:rPr>
                <w:sz w:val="16"/>
              </w:rPr>
              <w:t>1685–1908 px</w:t>
            </w:r>
          </w:p>
        </w:tc>
        <w:tc>
          <w:tcPr>
            <w:tcW w:type="dxa" w:w="2088"/>
            <w:shd w:fill="F4F6F8"/>
          </w:tcPr>
          <w:p>
            <w:r>
              <w:rPr>
                <w:sz w:val="16"/>
              </w:rPr>
              <w:t>~625 px</w:t>
            </w:r>
          </w:p>
        </w:tc>
        <w:tc>
          <w:tcPr>
            <w:tcW w:type="dxa" w:w="3456"/>
            <w:shd w:fill="F4F6F8"/>
          </w:tcPr>
          <w:p>
            <w:r>
              <w:rPr>
                <w:sz w:val="16"/>
              </w:rPr>
              <w:t>Violeta full-width</w:t>
            </w:r>
          </w:p>
        </w:tc>
      </w:tr>
      <w:tr>
        <w:tc>
          <w:tcPr>
            <w:tcW w:type="dxa" w:w="1944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1908–2048 px</w:t>
            </w:r>
          </w:p>
        </w:tc>
        <w:tc>
          <w:tcPr>
            <w:tcW w:type="dxa" w:w="2088"/>
          </w:tcPr>
          <w:p>
            <w:r>
              <w:rPr>
                <w:sz w:val="16"/>
              </w:rPr>
              <w:t>~390 px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Near-black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1A9E6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EEF3F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Regra de ritmo</w:t>
              <w:br/>
            </w:r>
            <w:r>
              <w:rPr>
                <w:color w:val="3C3C3C"/>
                <w:sz w:val="18"/>
              </w:rPr>
              <w:t>A pagina alterna secoes claras e escuras para criar pulsacao: claro → claro/gelo → imagem escura → grafite → branco → branco → violeta → near-black. Na OEST, alternar Azul Principal, Branco/Gelo e Navy; reservar Verde para acao e Amarelo para assinatura/detalhe.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11111"/>
        </w:rPr>
        <w:t>5. Grid, largura e alinhamentos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Especificacao recomendada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Canvas desktop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1440–1600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Layout continua full-width; conteudo interno com max-width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Container principal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1280–1320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~88–92% em 1440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Gutter desktop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32–48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Nunca colar conteudo na borda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12 colunas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Hero 6/6; sections 4/8; cards 5× iguais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Column gap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20–28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Cards estreitos usam 12–16 px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Section padding Y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96–144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FAQ/hero podem chegar a 160 px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Text max-width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520–660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Evita linhas longas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Hero visual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50–56% viewport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Produto/fotografia recebe mais area que copy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Radius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0–8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Referencia quase sem arredondamento; OEST pode usar 10–16 px sutil</w:t>
            </w:r>
          </w:p>
        </w:tc>
      </w:tr>
    </w:tbl>
    <w:p/>
    <w:p>
      <w:pPr>
        <w:pStyle w:val="BodyText"/>
      </w:pPr>
      <w:r>
        <w:t>Alinhamento dominante: a referencia usa bordas externas muito limpas, eixos verticais precisos e grande consistencia entre inicio de heading, cards e imagens. A sensacao premium vem mais do alinhamento e espaco do que de efeitos.</w:t>
      </w:r>
    </w:p>
    <w:p>
      <w:pPr>
        <w:pStyle w:val="Heading1"/>
      </w:pPr>
      <w:r>
        <w:rPr>
          <w:color w:val="111111"/>
        </w:rPr>
        <w:t>6. Sistema de spacing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2xs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4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micro gaps, icon/text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xs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8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labels, icon rows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sm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12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form elements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md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16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component inner padding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lg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24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card gap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32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content blocks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2xl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48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headings ↔ body / clusters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3xl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64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subsections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4xl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96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section padding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5xl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128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hero/major sections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11111"/>
        </w:rPr>
        <w:t>7. Tipografia: hierarquia completa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2A57B8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F3F5F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Familia tipografica</w:t>
              <w:br/>
            </w:r>
            <w:r>
              <w:rPr>
                <w:color w:val="3C3C3C"/>
                <w:sz w:val="18"/>
              </w:rPr>
              <w:t>A familia exata nao pode ser confirmada apenas pelo screenshot. O desenho visual e de uma grotesk europeia moderna: x-height alto, largura compacta, terminais neutros e pesos fortes. Para reproduzir o comportamento: Neue Montreal, Suisse Int’l, Inter Tight, Helvetica Now, Graphik ou Arial/Helvetica como fallback.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111820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1666"/>
            <w:shd w:fill="111820"/>
          </w:tcPr>
          <w:p>
            <w:r>
              <w:rPr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1666"/>
            <w:shd w:fill="111820"/>
          </w:tcPr>
          <w:p>
            <w:r>
              <w:rPr>
                <w:b/>
                <w:color w:val="FFFFFF"/>
                <w:sz w:val="16"/>
              </w:rPr>
              <w:t>Mobile</w:t>
            </w:r>
          </w:p>
        </w:tc>
        <w:tc>
          <w:tcPr>
            <w:tcW w:type="dxa" w:w="1666"/>
            <w:shd w:fill="111820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1666"/>
            <w:shd w:fill="111820"/>
          </w:tcPr>
          <w:p>
            <w:r>
              <w:rPr>
                <w:b/>
                <w:color w:val="FFFFFF"/>
                <w:sz w:val="16"/>
              </w:rPr>
              <w:t>Line-height</w:t>
            </w:r>
          </w:p>
        </w:tc>
        <w:tc>
          <w:tcPr>
            <w:tcW w:type="dxa" w:w="1666"/>
            <w:shd w:fill="111820"/>
          </w:tcPr>
          <w:p>
            <w:r>
              <w:rPr>
                <w:b/>
                <w:color w:val="FFFFFF"/>
                <w:sz w:val="16"/>
              </w:rPr>
              <w:t>Tracking</w:t>
            </w:r>
          </w:p>
        </w:tc>
      </w:tr>
      <w:tr>
        <w:tc>
          <w:tcPr>
            <w:tcW w:type="dxa" w:w="1666"/>
            <w:shd w:fill="F4F6F8"/>
          </w:tcPr>
          <w:p>
            <w:r>
              <w:rPr>
                <w:sz w:val="16"/>
              </w:rPr>
              <w:t>Display Hero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72–88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46–56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700–800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0.90–0.98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-0.045em</w:t>
            </w:r>
          </w:p>
        </w:tc>
      </w:tr>
      <w:tr>
        <w:tc>
          <w:tcPr>
            <w:tcW w:type="dxa" w:w="1666"/>
          </w:tcPr>
          <w:p>
            <w:r>
              <w:rPr>
                <w:sz w:val="16"/>
              </w:rPr>
              <w:t>H1/H2 grande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56–72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38–46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700–800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0.95–1.02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-0.04em</w:t>
            </w:r>
          </w:p>
        </w:tc>
      </w:tr>
      <w:tr>
        <w:tc>
          <w:tcPr>
            <w:tcW w:type="dxa" w:w="1666"/>
            <w:shd w:fill="F4F6F8"/>
          </w:tcPr>
          <w:p>
            <w:r>
              <w:rPr>
                <w:sz w:val="16"/>
              </w:rPr>
              <w:t>H2 secao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44–56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32–38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1.00–1.05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-0.03em</w:t>
            </w:r>
          </w:p>
        </w:tc>
      </w:tr>
      <w:tr>
        <w:tc>
          <w:tcPr>
            <w:tcW w:type="dxa" w:w="1666"/>
          </w:tcPr>
          <w:p>
            <w:r>
              <w:rPr>
                <w:sz w:val="16"/>
              </w:rPr>
              <w:t>H3 card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24–32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22–26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600–700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1.00–1.10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-0.02em</w:t>
            </w:r>
          </w:p>
        </w:tc>
      </w:tr>
      <w:tr>
        <w:tc>
          <w:tcPr>
            <w:tcW w:type="dxa" w:w="1666"/>
            <w:shd w:fill="F4F6F8"/>
          </w:tcPr>
          <w:p>
            <w:r>
              <w:rPr>
                <w:sz w:val="16"/>
              </w:rPr>
              <w:t>Body large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18–22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17–19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400–500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1.45–1.60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666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15–17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15–16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1.45–1.60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666"/>
            <w:shd w:fill="F4F6F8"/>
          </w:tcPr>
          <w:p>
            <w:r>
              <w:rPr>
                <w:sz w:val="16"/>
              </w:rPr>
              <w:t>Eyebrow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11–13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10–12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0.12em</w:t>
            </w:r>
          </w:p>
        </w:tc>
      </w:tr>
      <w:tr>
        <w:tc>
          <w:tcPr>
            <w:tcW w:type="dxa" w:w="1666"/>
          </w:tcPr>
          <w:p>
            <w:r>
              <w:rPr>
                <w:sz w:val="16"/>
              </w:rPr>
              <w:t>Nav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13–14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-0.01em</w:t>
            </w:r>
          </w:p>
        </w:tc>
      </w:tr>
      <w:tr>
        <w:tc>
          <w:tcPr>
            <w:tcW w:type="dxa" w:w="1666"/>
            <w:shd w:fill="F4F6F8"/>
          </w:tcPr>
          <w:p>
            <w:r>
              <w:rPr>
                <w:sz w:val="16"/>
              </w:rPr>
              <w:t>Button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12–14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13–14 px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66"/>
            <w:shd w:fill="F4F6F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666"/>
          </w:tcPr>
          <w:p>
            <w:r>
              <w:rPr>
                <w:sz w:val="16"/>
              </w:rPr>
              <w:t>Legal/footer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11–12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11–12 px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1666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BodyText"/>
      </w:pPr>
      <w:r>
        <w:t>Caracteristica-chave: headlines usam quebras de linha deliberadas como parte do layout. Nao deixar o navegador quebrar de modo imprevisivel em desktop; usar max-width e, quando necessario, line breaks controlados.</w:t>
      </w:r>
    </w:p>
    <w:p>
      <w:pPr>
        <w:pStyle w:val="Heading1"/>
      </w:pPr>
      <w:r>
        <w:rPr>
          <w:color w:val="111111"/>
        </w:rPr>
        <w:t>8. Cores da referencia vs. sistema OEST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Funcao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Referencia observada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OEST recomendado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Primary dark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Near-black / graphite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Navy #111820 + Azul #2A57B8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Light canvas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White / mint-gray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Branco #FFFFFF + Gelo #CAD7F6 em baixa saturacao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Accent 1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Violeta eletrico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Azul #2A57B8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Accent 2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Lime acid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Verde #1A9E60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Accent 3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Amarelo #F8C623 somente para assinatura/alerta premium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Text on dark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White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Branco #FFFFFF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Text on light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Black / ink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Navy profundo #111820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F8C623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EEF3F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Uso de cor premium</w:t>
              <w:br/>
            </w:r>
            <w:r>
              <w:rPr>
                <w:color w:val="3C3C3C"/>
                <w:sz w:val="18"/>
              </w:rPr>
              <w:t>Nao colorir todos os cards. Use ~70% branco/gelo, ~20% navy/azul e ~10% acentos. Verde e cor de acao/estado positivo. Amarelo deve aparecer em microdetalhes ou 1 assinatura geometrica, nunca competir com CTA.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11111"/>
        </w:rPr>
        <w:t>9. Header /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Spec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Altura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48–56 px desktop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Fino; quase editorial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Logo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110–140 px largura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Alinhado ao eixo esquerdo do container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Nav items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13–14 px / 500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Espacamento 24–32 px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Ghost / texto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Separado dos CTAs principais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CTA header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32–38 px altura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Compacto; contraste alto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Sticky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Recomendado OEST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Ao scroll, fundo branco 92% + blur 12px</w:t>
            </w:r>
          </w:p>
        </w:tc>
      </w:tr>
    </w:tbl>
    <w:p/>
    <w:p>
      <w:pPr>
        <w:pStyle w:val="BodyText"/>
      </w:pPr>
      <w:r>
        <w:t>Na referencia, a navegacao e propositalmente discreta para nao concorrer com o hero. A OEST deve manter esse principio, mas pode usar sticky header com borda inferior 1 px e transicao suave.</w:t>
      </w:r>
    </w:p>
    <w:p>
      <w:pPr>
        <w:pStyle w:val="Heading1"/>
      </w:pPr>
      <w:r>
        <w:rPr>
          <w:color w:val="111111"/>
        </w:rPr>
        <w:t>10. Hero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Spec de referencia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Adaptacao OEST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Split assimetrico 48/52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Copy esquerda; visual de dados/operacao direita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Headline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3–5 linhas, muito grande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“Dados do mundo real para decisoes que movem negocios.”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Mockups/artefatos inclinados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Dashboard OEST + mapa urbano + drone, sem visual stock generico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2 botoes pequenos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Primario verde + secundario outline azul/navy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Microproof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Cards/labels integrados ao visual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status de missao, hectares, precisao, SLA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Whitespace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Muito alto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Preservar; nao lotar hero com 8 beneficios</w:t>
            </w:r>
          </w:p>
        </w:tc>
      </w:tr>
    </w:tbl>
    <w:p/>
    <w:p>
      <w:pPr>
        <w:pStyle w:val="BodyText"/>
      </w:pPr>
      <w:r>
        <w:t>O hero da referencia nao usa um “card de marketing” tradicional. Ele funciona como editorial spread: grande espaco branco, tipo preta forte, elementos visuais cortados na borda e pequenos blocos de informacao que parecem parte de um sistema real.</w:t>
      </w:r>
    </w:p>
    <w:p>
      <w:r>
        <w:br w:type="page"/>
      </w:r>
    </w:p>
    <w:p>
      <w:pPr>
        <w:pStyle w:val="Heading1"/>
      </w:pPr>
      <w:r>
        <w:rPr>
          <w:color w:val="111111"/>
        </w:rPr>
        <w:t>11. Secao “Task drones…” / Plataforma</w:t>
      </w:r>
    </w:p>
    <w:p>
      <w:pPr>
        <w:pStyle w:val="BodyText"/>
      </w:pPr>
      <w:r>
        <w:t>Anatomia: fundo muito claro; headline centralizada; descricao curta em largura estreita; pequeno CTA; abaixo, dispositivo mobile alinhado a esquerda e notebook dominante ao centro/direita. O mockup toca quase a base da secao, criando ancoragem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Tamanho relativo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Headline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~50–60 px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max-width ~900 px, central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14–16 px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max-width 720 px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micro button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nao rouba a cena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~55–62% largura do container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imagem real da plataforma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Phone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~18–22%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sobreposicao controlada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off-white/mint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sem sombras pesadas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1A9E6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F1F7F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Aplicacao OEST</w:t>
              <w:br/>
            </w:r>
            <w:r>
              <w:rPr>
                <w:color w:val="3C3C3C"/>
                <w:sz w:val="18"/>
              </w:rPr>
              <w:t>Usar screenshot real do painel OEST em notebook + fluxo “Criar missao” em mobile. O objetivo da secao e provar que existe produto, nao ilustrar genericamente “tecnologia”.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11111"/>
        </w:rPr>
        <w:t>12. Secao full-bleed de imagem</w:t>
      </w:r>
    </w:p>
    <w:p>
      <w:pPr>
        <w:pStyle w:val="BodyText"/>
      </w:pPr>
      <w:r>
        <w:t>A referencia usa uma fotografia dramaticamente recortada de uma turbina eolica. Ela funciona como pausa emocional entre produto e explicacao. O enquadramento e close, tecnico e cinematografico: o ativo ocupa a maior parte do quadro e o contexto fica secundario.</w:t>
      </w:r>
    </w:p>
    <w:p>
      <w:pPr>
        <w:pStyle w:val="ListBullet"/>
      </w:pPr>
      <w:r>
        <w:t>OEST: cidade + infraestrutura + drone; linhas de transmissao; ponte; solar; obra; telhado industrial.</w:t>
      </w:r>
    </w:p>
    <w:p>
      <w:pPr>
        <w:pStyle w:val="ListBullet"/>
      </w:pPr>
      <w:r>
        <w:t>Evitar paisagem “bonita” sem relacao operacional. A imagem deve mostrar um ativo que precisa ser medido/inspecionado.</w:t>
      </w:r>
    </w:p>
    <w:p>
      <w:pPr>
        <w:pStyle w:val="ListBullet"/>
      </w:pPr>
      <w:r>
        <w:t>Preferir luz real, atmosfera, detalhe tecnico e escala humana/industrial.</w:t>
      </w:r>
    </w:p>
    <w:p>
      <w:pPr>
        <w:pStyle w:val="Heading1"/>
      </w:pPr>
      <w:r>
        <w:rPr>
          <w:color w:val="111111"/>
        </w:rPr>
        <w:t>13. Secao “Digitize…” / Proposta enterprise</w:t>
      </w:r>
    </w:p>
    <w:p>
      <w:pPr>
        <w:pStyle w:val="BodyText"/>
      </w:pPr>
      <w:r>
        <w:t>Fundo grafite e titulo branco central. Abaixo, tres colunas iguais; cada coluna tem headline curta em negrito + 2–4 linhas de corpo. Nao ha cards, bordas ou icones: a tipografia faz o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Logica da referencia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Copy OEST equivalente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Limited → scalable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De local para escalavel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Manual → automated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De manual para orquestrado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03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Ad hoc → standardized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De pontual para padronizado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11111"/>
        </w:rPr>
        <w:t>14. “How it works” — componente central</w:t>
      </w:r>
    </w:p>
    <w:p>
      <w:pPr>
        <w:pStyle w:val="BodyText"/>
      </w:pPr>
      <w:r>
        <w:t>E o trecho com maior personalidade visual: heading enorme sobre fundo grafite, seguido por 5 cards verticais estreitos com cores alternadas. Os cards funcionam como uma linha de tempo horizontal.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Spec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Valor recomendado desktop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Numero de cards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Card ratio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~0.72–0.82 W/H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Gap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8–12 px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Padding interno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18–22 px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Numero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44–56 px / top-right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Titulo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22–28 px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12–14 px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Altura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360–430 px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Cores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3 claras + 1 neutra + 1 destaque forte</w:t>
            </w:r>
          </w:p>
        </w:tc>
      </w:tr>
    </w:tbl>
    <w:p/>
    <w:p>
      <w:pPr>
        <w:pStyle w:val="BodyText"/>
      </w:pPr>
      <w:r>
        <w:t>Para OEST, manter 5 etapas: Defina necessidade → Matching → Compare propostas → Acompanhe missao → Receba dados. Use #CAD7F6 e branco nos neutros; Verde nos passos de acao; Azul #2A57B8 como card de destaque; Amarelo apenas em indice/linha/icone.</w:t>
      </w:r>
    </w:p>
    <w:p>
      <w:pPr>
        <w:pStyle w:val="Heading1"/>
      </w:pPr>
      <w:r>
        <w:rPr>
          <w:color w:val="111111"/>
        </w:rPr>
        <w:t>15. Global Reach / Cobertura</w:t>
      </w:r>
    </w:p>
    <w:p>
      <w:pPr>
        <w:pStyle w:val="BodyText"/>
      </w:pPr>
      <w:r>
        <w:t>Grande espaco branco com um titulo muito grande centralizado, paragrafo pequeno abaixo e mapa como objeto heroico. A secao transmite escala por vazio e simplificacao, nao por dezenas de marcadores e textos.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Spec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56–72 px central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14–16 px, max 780 px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Mapa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50–65% viewport width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Map fill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cor unica com 2–3 tons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pequeno, abaixo do mapa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Altura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~650–800 px em desktop 1440</w:t>
            </w:r>
          </w:p>
        </w:tc>
      </w:tr>
    </w:tbl>
    <w:p/>
    <w:p>
      <w:pPr>
        <w:pStyle w:val="BodyText"/>
      </w:pPr>
      <w:r>
        <w:t>Na OEST: mapa do Brasil primeiro; global apenas quando houver cobertura real. Mostrar regioes/operadores de forma agregada, sem poluir.</w:t>
      </w:r>
    </w:p>
    <w:p>
      <w:r>
        <w:br w:type="page"/>
      </w:r>
    </w:p>
    <w:p>
      <w:pPr>
        <w:pStyle w:val="Heading1"/>
      </w:pPr>
      <w:r>
        <w:rPr>
          <w:color w:val="111111"/>
        </w:rPr>
        <w:t>16. Our Users / Logo Wall</w:t>
      </w:r>
    </w:p>
    <w:p>
      <w:pPr>
        <w:pStyle w:val="BodyText"/>
      </w:pPr>
      <w:r>
        <w:t>A referencia coloca o social proof em um ambiente quase vazio. Logos grandes, monocromaticos ou com cor de marca muito suave, grid regular e sem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Spec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Recomendacao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Grid desktop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4 × 2 ou 6 × 2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Logo box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160–220 × 72–96 px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Opacity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60–85%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branco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Padding Y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96–140 px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Heading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56–64 px central</w:t>
            </w:r>
          </w:p>
        </w:tc>
      </w:tr>
    </w:tbl>
    <w:p/>
    <w:p>
      <w:pPr>
        <w:pStyle w:val="BodyText"/>
      </w:pPr>
      <w:r>
        <w:t>OEST: nao usar logos de empresas sem autorizacao. Quando nao houver grandes logos, trocar por “Setores atendidos”, associacoes, parceiros tecnologicos ou cases verificaveis.</w:t>
      </w:r>
    </w:p>
    <w:p>
      <w:pPr>
        <w:pStyle w:val="Heading1"/>
      </w:pPr>
      <w:r>
        <w:rPr>
          <w:color w:val="111111"/>
        </w:rPr>
        <w:t>17. CTA “Make the switch”</w:t>
      </w:r>
    </w:p>
    <w:p>
      <w:pPr>
        <w:pStyle w:val="BodyText"/>
      </w:pPr>
      <w:r>
        <w:t>Minimalista e quase brutalista: titulo enorme, muito branco e um unico botao pequeno. A referencia evita banner com background complexo neste ponto; a clareza e a principal ferramenta.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1A9E6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F6F7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Copy OEST</w:t>
              <w:br/>
            </w:r>
            <w:r>
              <w:rPr>
                <w:color w:val="3C3C3C"/>
                <w:sz w:val="18"/>
              </w:rPr>
              <w:t>“Pare de procurar drones. Comece a solicitar resultados.” + CTA “Solicitar uma missao”.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11111"/>
        </w:rPr>
        <w:t>18. FAQ</w:t>
      </w:r>
    </w:p>
    <w:p>
      <w:pPr>
        <w:pStyle w:val="BodyText"/>
      </w:pPr>
      <w:r>
        <w:t>Secao full-width em cor forte. Titulo grande alinhado ao centro/esquerda, lista de perguntas em accordion, separadores finos, simbolo + no extremo direito. A densidade e baixa.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Spec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Background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Azul OEST #2A57B8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Heading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48–60 px branco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Accordion row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56–64 px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14–16 px / 500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Divider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1 px white @ 20–30% opacity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Icon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+ 16–18 px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Max width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900–1080 px</w:t>
            </w:r>
          </w:p>
        </w:tc>
      </w:tr>
    </w:tbl>
    <w:p/>
    <w:p>
      <w:pPr>
        <w:pStyle w:val="Heading1"/>
      </w:pPr>
      <w:r>
        <w:rPr>
          <w:color w:val="111111"/>
        </w:rPr>
        <w:t>19. Footer</w:t>
      </w:r>
    </w:p>
    <w:p>
      <w:pPr>
        <w:pStyle w:val="BodyText"/>
      </w:pPr>
      <w:r>
        <w:t>O footer usa near-black, uma area forte de marca a esquerda e colunas enxutas a direita. A linha divisoria e discreta, links pequenos e sociais separados.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Conteudo OEST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Brand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Logo + positioning line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Produto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Plataforma, Solucoes, API, Cobertura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Empresa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Sobre, Cases, Conteudo, Carreiras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Operadores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Entrar para a rede, Requisitos, Ajuda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Legal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Privacidade, Termos, Cookies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Social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LinkedIn, Instagram, YouTube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11111"/>
        </w:rPr>
        <w:t>20. Biblioteca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Dimensoes</w:t>
            </w:r>
          </w:p>
        </w:tc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Primary button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40–48h / 16–24px X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Verde, texto branco, radius 2–6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hover: -6% lightness + arrow translate 2px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Secondary button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40–48h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Outline 1px navy/white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hover: fill 6–8%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Text link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13–14 px + seta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underline/arrow on hover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Process card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~220–250w × 360–430h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Flat, sem shadow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hover 2–4 px rise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Accordion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56–64h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linha + question + plus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open with 250–350ms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Logo cell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160–220w × 80h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sem container visivel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opacity 70→100% hover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Stat chip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auto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microtype + value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no shadow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Device mockup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responsive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transparent PNG/WebP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parallax muito leve opcional</w:t>
            </w:r>
          </w:p>
        </w:tc>
      </w:tr>
    </w:tbl>
    <w:p/>
    <w:p>
      <w:pPr>
        <w:pStyle w:val="Heading1"/>
      </w:pPr>
      <w:r>
        <w:rPr>
          <w:color w:val="111111"/>
        </w:rPr>
        <w:t>21. Iconografia</w:t>
      </w:r>
    </w:p>
    <w:p>
      <w:pPr>
        <w:pStyle w:val="BodyText"/>
      </w:pPr>
      <w:r>
        <w:t>A referencia praticamente nao depende de iconografia decorativa. O estilo premium vem de texto, fotografia e produto. Para OEST: usar icones apenas onde a tarefa exige entendimento imediato — setores, status, sensores e workflow.</w:t>
      </w:r>
    </w:p>
    <w:p>
      <w:pPr>
        <w:pStyle w:val="ListBullet"/>
      </w:pPr>
      <w:r>
        <w:t>Stroke 1.5–1.75 px; 20/24 px base.</w:t>
      </w:r>
    </w:p>
    <w:p>
      <w:pPr>
        <w:pStyle w:val="ListBullet"/>
      </w:pPr>
      <w:r>
        <w:t>Cantos geometricos, sem ilustração “cartoon”.</w:t>
      </w:r>
    </w:p>
    <w:p>
      <w:pPr>
        <w:pStyle w:val="ListBullet"/>
      </w:pPr>
      <w:r>
        <w:t>Uma unica familia de icones. Nao misturar Lucide, Heroicons e SVGs proprietarios sem normalizacao.</w:t>
      </w:r>
    </w:p>
    <w:p>
      <w:pPr>
        <w:pStyle w:val="ListBullet"/>
      </w:pPr>
      <w:r>
        <w:t>Cor: Navy no light; branco no dark; verde apenas para success/CTA.</w:t>
      </w:r>
    </w:p>
    <w:p>
      <w:pPr>
        <w:pStyle w:val="Heading1"/>
      </w:pPr>
      <w:r>
        <w:rPr>
          <w:color w:val="111111"/>
        </w:rPr>
        <w:t>22. Imagens e direcao de 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Direcao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Produto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Screenshot real, UI legivel, fundo removido, perspectiva sutil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Operacao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Drone proximo ao ativo; foco em trabalho, nao lazer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Urbano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Pontes, telhados, obras, torres, cidades, industria, energia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Agro/ambiental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Contexto de captura/monitoramento, sem turismo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Recorte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Close + crop ousado; objetos tocando bordas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Cor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Natural; contraste medio/alto; pouco filtro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Iluminacao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Golden hour / daylight tecnico; evitar stock hiper-saturado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Aspect ratios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16:9 hero media; 4:3 cards; transparent device PNGs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2A57B8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F2F5F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Diferenca entre “premium” e “stock”</w:t>
              <w:br/>
            </w:r>
            <w:r>
              <w:rPr>
                <w:color w:val="3C3C3C"/>
                <w:sz w:val="18"/>
              </w:rPr>
              <w:t>Premium: imagem especifica que prova um caso de uso. Stock: drone generico voando em ceu bonito. Toda imagem OEST deve responder “qual ativo esta sendo capturado e que dado sera gerado?”.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11111"/>
        </w:rPr>
        <w:t>23. Motion / microinteracoes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Interacao</w:t>
            </w:r>
          </w:p>
        </w:tc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Duracao</w:t>
            </w:r>
          </w:p>
        </w:tc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Easing</w:t>
            </w:r>
          </w:p>
        </w:tc>
        <w:tc>
          <w:tcPr>
            <w:tcW w:type="dxa" w:w="2498"/>
            <w:shd w:fill="111820"/>
          </w:tcPr>
          <w:p>
            <w:r>
              <w:rPr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Nav hover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120–160 ms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ease-out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opacity/underline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Button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160–200 ms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cubic-bezier(.2,.8,.2,1)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background + arrow 2px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Card hover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180–240 ms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ease-out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translateY(-2px), no heavy shadow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Accordion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250–350 ms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ease-in-out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height + opacity</w:t>
            </w:r>
          </w:p>
        </w:tc>
      </w:tr>
      <w:tr>
        <w:tc>
          <w:tcPr>
            <w:tcW w:type="dxa" w:w="2498"/>
            <w:shd w:fill="F4F6F8"/>
          </w:tcPr>
          <w:p>
            <w:r>
              <w:rPr>
                <w:sz w:val="16"/>
              </w:rPr>
              <w:t>Section reveal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400–650 ms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ease-out</w:t>
            </w:r>
          </w:p>
        </w:tc>
        <w:tc>
          <w:tcPr>
            <w:tcW w:type="dxa" w:w="2498"/>
            <w:shd w:fill="F4F6F8"/>
          </w:tcPr>
          <w:p>
            <w:r>
              <w:rPr>
                <w:sz w:val="16"/>
              </w:rPr>
              <w:t>y 12–24px + opacity</w:t>
            </w:r>
          </w:p>
        </w:tc>
      </w:tr>
      <w:tr>
        <w:tc>
          <w:tcPr>
            <w:tcW w:type="dxa" w:w="2498"/>
          </w:tcPr>
          <w:p>
            <w:r>
              <w:rPr>
                <w:sz w:val="16"/>
              </w:rPr>
              <w:t>Mockup parallax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slow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linear/eased</w:t>
            </w:r>
          </w:p>
        </w:tc>
        <w:tc>
          <w:tcPr>
            <w:tcW w:type="dxa" w:w="2498"/>
          </w:tcPr>
          <w:p>
            <w:r>
              <w:rPr>
                <w:sz w:val="16"/>
              </w:rPr>
              <w:t>max 8–16px</w:t>
            </w:r>
          </w:p>
        </w:tc>
      </w:tr>
    </w:tbl>
    <w:p/>
    <w:p>
      <w:pPr>
        <w:pStyle w:val="BodyText"/>
      </w:pPr>
      <w:r>
        <w:t>Nao usar animacao como decoracao. A referencia transmite tecnologia por composicao e escala; motion deve reforcar navegacao, progressao e status.</w:t>
      </w:r>
    </w:p>
    <w:p>
      <w:pPr>
        <w:pStyle w:val="Heading1"/>
      </w:pPr>
      <w:r>
        <w:rPr>
          <w:color w:val="111111"/>
        </w:rPr>
        <w:t>24. Responsividade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Grid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Principais mudancas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≥1440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12 colunas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desktop completo, grandes headlines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1200–1439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12 colunas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container 1120–1200, type -8–10%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992–1199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8 colunas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hero 5/3, cards 3+2 ou scroll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768–991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8 colunas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hero stack parcial, nav compacta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480–767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4 colunas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1 coluna; mockups stack; process horizontal-scroll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&lt;480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4 colunas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24px gutters, H1 46–52px, buttons full-width opcional</w:t>
            </w:r>
          </w:p>
        </w:tc>
      </w:tr>
    </w:tbl>
    <w:p/>
    <w:p>
      <w:pPr>
        <w:pStyle w:val="BodyText"/>
      </w:pPr>
      <w:r>
        <w:t>No mobile, manter o carater editorial: headlines ainda grandes, whitespace generoso, menos elementos simultaneos. Nao “miniaturizar” desktop; reorquestrar a historia.</w:t>
      </w:r>
    </w:p>
    <w:p>
      <w:r>
        <w:br w:type="page"/>
      </w:r>
    </w:p>
    <w:p>
      <w:pPr>
        <w:pStyle w:val="Heading1"/>
      </w:pPr>
      <w:r>
        <w:rPr>
          <w:color w:val="111111"/>
        </w:rPr>
        <w:t>25. Blueprint OEST — arquitetura final da 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504"/>
            <w:shd w:fill="11182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fill="111820"/>
          </w:tcPr>
          <w:p>
            <w:r>
              <w:rPr>
                <w:b/>
                <w:color w:val="FFFFFF"/>
                <w:sz w:val="16"/>
              </w:rPr>
              <w:t>Secao</w:t>
            </w:r>
          </w:p>
        </w:tc>
        <w:tc>
          <w:tcPr>
            <w:tcW w:type="dxa" w:w="7488"/>
            <w:shd w:fill="111820"/>
          </w:tcPr>
          <w:p>
            <w:r>
              <w:rPr>
                <w:b/>
                <w:color w:val="FFFFFF"/>
                <w:sz w:val="16"/>
              </w:rPr>
              <w:t>Conteudo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Header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Logo / Solucoes / Setores / Plataforma / Para operadores / Conteudo / Login / CTA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Hero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Dados do mundo real para decisoes que movem negocios.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03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Microproof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Missoes / hectares / operadores / compliance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04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Platform proof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Capture qualquer ativo. Em qualquer lugar. Quando precisar. + dashboard/mobile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05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Visual pause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Imagem urbana/industrial full-bleed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Enterprise value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Local→Escala / Manual→Orquestrado / Ad hoc→Padronizado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07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How it works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5 etapas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08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Sectors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Energia, Infra, Construcao, Mineracao, Agro, Imobiliario, Seguranca, Ambiente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Mapa Brasil + capacidade distribuida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Mundo fisico → captura → OEST → GIS/BIM/ERP/AI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Dual audience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Para empresas / Para operadores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Social proof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Cases, partners, customer logos quando autorizados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Enterprise CTA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Pare de procurar drones. Comece a solicitar resultados.</w:t>
            </w:r>
          </w:p>
        </w:tc>
      </w:tr>
      <w:tr>
        <w:tc>
          <w:tcPr>
            <w:tcW w:type="dxa" w:w="50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FAQ</w:t>
            </w:r>
          </w:p>
        </w:tc>
        <w:tc>
          <w:tcPr>
            <w:tcW w:type="dxa" w:w="7488"/>
          </w:tcPr>
          <w:p>
            <w:r>
              <w:rPr>
                <w:sz w:val="16"/>
              </w:rPr>
              <w:t>Pricing, prazo, operadores, formatos, API, compliance</w:t>
            </w:r>
          </w:p>
        </w:tc>
      </w:tr>
      <w:tr>
        <w:tc>
          <w:tcPr>
            <w:tcW w:type="dxa" w:w="504"/>
            <w:shd w:fill="F4F6F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016"/>
            <w:shd w:fill="F4F6F8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7488"/>
            <w:shd w:fill="F4F6F8"/>
          </w:tcPr>
          <w:p>
            <w:r>
              <w:rPr>
                <w:sz w:val="16"/>
              </w:rPr>
              <w:t>Produto / Empresa / Operadores / Legal</w:t>
            </w:r>
          </w:p>
        </w:tc>
      </w:tr>
    </w:tbl>
    <w:p/>
    <w:p>
      <w:pPr>
        <w:pStyle w:val="Heading1"/>
      </w:pPr>
      <w:r>
        <w:rPr>
          <w:color w:val="111111"/>
        </w:rPr>
        <w:t>26. Tokens OEST para implementacao</w:t>
      </w:r>
    </w:p>
    <w:p>
      <w:pPr>
        <w:pStyle w:val="BodyText"/>
      </w:pPr>
      <w:r>
        <w:t>Paleta definida pelo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3331"/>
            <w:shd w:fill="111820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brand.blue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#2A57B8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backgrounds fortes, headings em light, mapas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brand.green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#1A9E60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CTA, success, highlights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brand.yellow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#F8C623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assinatura, detalhe, premium accent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brand.lightblue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#CAD7F6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surfaces claras, diagrams, cards neutros</w:t>
            </w:r>
          </w:p>
        </w:tc>
      </w:tr>
      <w:tr>
        <w:tc>
          <w:tcPr>
            <w:tcW w:type="dxa" w:w="3331"/>
            <w:shd w:fill="F4F6F8"/>
          </w:tcPr>
          <w:p>
            <w:r>
              <w:rPr>
                <w:sz w:val="16"/>
              </w:rPr>
              <w:t>brand.white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#FFFFFF</w:t>
            </w:r>
          </w:p>
        </w:tc>
        <w:tc>
          <w:tcPr>
            <w:tcW w:type="dxa" w:w="3331"/>
            <w:shd w:fill="F4F6F8"/>
          </w:tcPr>
          <w:p>
            <w:r>
              <w:rPr>
                <w:sz w:val="16"/>
              </w:rPr>
              <w:t>canvas e texto em dark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ink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#111820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texto principal, footer, dark sections</w:t>
            </w:r>
          </w:p>
        </w:tc>
      </w:tr>
    </w:tbl>
    <w:p/>
    <w:p>
      <w:pPr>
        <w:pStyle w:val="BodyText"/>
      </w:pPr>
      <w:r>
        <w:t>Exemplo Tailwind:</w:t>
      </w:r>
    </w:p>
    <w:p>
      <w:r>
        <w:rPr>
          <w:rFonts w:ascii="Courier New" w:hAnsi="Courier New"/>
          <w:sz w:val="17"/>
        </w:rPr>
        <w:t>brand: { blue:'#2A57B8', green:'#1A9E60', yellow:'#F8C623', lightblue:'#CAD7F6', white:'#FFFFFF', ink:'#111820' }</w:t>
      </w:r>
    </w:p>
    <w:p>
      <w:pPr>
        <w:pStyle w:val="Heading1"/>
      </w:pPr>
      <w:r>
        <w:rPr>
          <w:color w:val="111111"/>
        </w:rPr>
        <w:t>27. Regras de composicao OEST</w:t>
      </w:r>
    </w:p>
    <w:p>
      <w:pPr>
        <w:pStyle w:val="ListBullet"/>
      </w:pPr>
      <w:r>
        <w:t>Nao usar mais de 1 headline principal por viewport.</w:t>
      </w:r>
    </w:p>
    <w:p>
      <w:pPr>
        <w:pStyle w:val="ListBullet"/>
      </w:pPr>
      <w:r>
        <w:t>Nao usar mais de 2 CTAs primarios por secao.</w:t>
      </w:r>
    </w:p>
    <w:p>
      <w:pPr>
        <w:pStyle w:val="ListBullet"/>
      </w:pPr>
      <w:r>
        <w:t>Se uma secao tem uma imagem forte, reduzir decoracao, icones e cards.</w:t>
      </w:r>
    </w:p>
    <w:p>
      <w:pPr>
        <w:pStyle w:val="ListBullet"/>
      </w:pPr>
      <w:r>
        <w:t>Mockups sempre precisam mostrar produto real ou prototipo crivel.</w:t>
      </w:r>
    </w:p>
    <w:p>
      <w:pPr>
        <w:pStyle w:val="ListBullet"/>
      </w:pPr>
      <w:r>
        <w:t>Toda estatistica precisa ser verificavel; caso contrario, usar label de capacidade sem numero.</w:t>
      </w:r>
    </w:p>
    <w:p>
      <w:pPr>
        <w:pStyle w:val="ListBullet"/>
      </w:pPr>
      <w:r>
        <w:t>Evitar glassmorphism, sombras neon e gradientes genericos de SaaS.</w:t>
      </w:r>
    </w:p>
    <w:p>
      <w:pPr>
        <w:pStyle w:val="ListBullet"/>
      </w:pPr>
      <w:r>
        <w:t>Bordas e radius devem ser discretos; design deve parecer editorial/industrial.</w:t>
      </w:r>
    </w:p>
    <w:p>
      <w:pPr>
        <w:pStyle w:val="ListBullet"/>
      </w:pPr>
      <w:r>
        <w:t>Amarelo e assinatura, nao cor estrutural dominante.</w:t>
      </w:r>
    </w:p>
    <w:p>
      <w:pPr>
        <w:pStyle w:val="ListBullet"/>
      </w:pPr>
      <w:r>
        <w:t>No hero, vender resultado primeiro; “drone” e o mecanismo, nao o headline central.</w:t>
      </w:r>
    </w:p>
    <w:p>
      <w:r>
        <w:br w:type="page"/>
      </w:r>
    </w:p>
    <w:p>
      <w:pPr>
        <w:pStyle w:val="Heading1"/>
      </w:pPr>
      <w:r>
        <w:rPr>
          <w:color w:val="111111"/>
        </w:rPr>
        <w:t>28. Checklist de fidelidade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Pergunta de QA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Todos os inicios de secao alinham no mesmo container?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Tipo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Headlines possuem line-height compacto e quebras deliberadas?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Ritmo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Ha 96–144 px de respiracao entre grandes blocos?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Contraste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A pagina alterna claro/escuro sem excesso de cores?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Produto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A plataforma aparece em tamanho suficiente para ser crivel?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Imagem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Fotos mostram operacao/ativo em vez de drone generico?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Cards sao flat, sem excesso de shadow/radius?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Verde e reservado para acao principal?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FAQ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Accordion tem linhas simples e alto contraste?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Near-black, organizado e com hierarchy baixa?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Historia foi reordenada, nao apenas comprimida?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Hero image responsiva, WebP/AVIF, lazy load abaixo da dobra?</w:t>
            </w:r>
          </w:p>
        </w:tc>
      </w:tr>
    </w:tbl>
    <w:p/>
    <w:p>
      <w:pPr>
        <w:pStyle w:val="Heading1"/>
      </w:pPr>
      <w:r>
        <w:rPr>
          <w:color w:val="111111"/>
        </w:rPr>
        <w:t>29. Performance e implementacao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Hero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AVIF/WebP, preload apenas do LCP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Mockups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PNG/WebP transparente otimizado; width/height fixos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Below-fold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loading=lazy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Fonts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self-hosted WOFF2; 2 pesos prioritarios; font-display: swap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CSS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tokens + container + fluid type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prefers-reduced-motion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SEO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H1 unico, semantic sections, alt text real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AA contrast; focus visible; accordion keyboard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Core Web Vitals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LCP &lt;2.5s, CLS &lt;0.1, INP &lt;200ms como meta</w:t>
            </w:r>
          </w:p>
        </w:tc>
      </w:tr>
    </w:tbl>
    <w:p/>
    <w:p>
      <w:pPr>
        <w:pStyle w:val="Heading1"/>
      </w:pPr>
      <w:r>
        <w:rPr>
          <w:color w:val="111111"/>
        </w:rPr>
        <w:t>30. Do / Don’t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DO</w:t>
            </w:r>
          </w:p>
        </w:tc>
        <w:tc>
          <w:tcPr>
            <w:tcW w:type="dxa" w:w="4997"/>
            <w:shd w:fill="111820"/>
          </w:tcPr>
          <w:p>
            <w:r>
              <w:rPr>
                <w:b/>
                <w:color w:val="FFFFFF"/>
                <w:sz w:val="16"/>
              </w:rPr>
              <w:t>DON’T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Usar 1 ideia dominante por secao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Encher cada secao de 8 cards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Usar whitespace como elemento premium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Tentar preencher todo vazio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Usar imagens de ativo/operacao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Usar apenas drone no ceu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Mostrar produto real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Usar dashboard ficticio generico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Tipografia forte e simples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Misturar 3–4 fontes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CTA consistente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Mudar estilo de botao em cada bloco</w:t>
            </w:r>
          </w:p>
        </w:tc>
      </w:tr>
      <w:tr>
        <w:tc>
          <w:tcPr>
            <w:tcW w:type="dxa" w:w="4997"/>
            <w:shd w:fill="F4F6F8"/>
          </w:tcPr>
          <w:p>
            <w:r>
              <w:rPr>
                <w:sz w:val="16"/>
              </w:rPr>
              <w:t>Cor por funcao</w:t>
            </w:r>
          </w:p>
        </w:tc>
        <w:tc>
          <w:tcPr>
            <w:tcW w:type="dxa" w:w="4997"/>
            <w:shd w:fill="F4F6F8"/>
          </w:tcPr>
          <w:p>
            <w:r>
              <w:rPr>
                <w:sz w:val="16"/>
              </w:rPr>
              <w:t>Usar todas as cores em cada componente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Microinteracao sutil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Parallax/3D em tudo</w:t>
            </w:r>
          </w:p>
        </w:tc>
      </w:tr>
    </w:tbl>
    <w:p/>
    <w:p>
      <w:pPr>
        <w:pStyle w:val="Heading1"/>
      </w:pPr>
      <w:r>
        <w:rPr>
          <w:color w:val="111111"/>
        </w:rPr>
        <w:t>31. Definition of Done da LP</w:t>
      </w:r>
    </w:p>
    <w:p>
      <w:pPr>
        <w:pStyle w:val="ListBullet"/>
      </w:pPr>
      <w:r>
        <w:t>Desktop 1440 e 1920 revisados visualmente.</w:t>
      </w:r>
    </w:p>
    <w:p>
      <w:pPr>
        <w:pStyle w:val="ListBullet"/>
      </w:pPr>
      <w:r>
        <w:t>Tablet 768/1024 sem colisoes.</w:t>
      </w:r>
    </w:p>
    <w:p>
      <w:pPr>
        <w:pStyle w:val="ListBullet"/>
      </w:pPr>
      <w:r>
        <w:t>Mobile 375/390/430 com hierarchy preservada.</w:t>
      </w:r>
    </w:p>
    <w:p>
      <w:pPr>
        <w:pStyle w:val="ListBullet"/>
      </w:pPr>
      <w:r>
        <w:t>Heading scale, line-height e max-width batem com o sistema.</w:t>
      </w:r>
    </w:p>
    <w:p>
      <w:pPr>
        <w:pStyle w:val="ListBullet"/>
      </w:pPr>
      <w:r>
        <w:t>Todos os CTAs usam variantes oficiais.</w:t>
      </w:r>
    </w:p>
    <w:p>
      <w:pPr>
        <w:pStyle w:val="ListBullet"/>
      </w:pPr>
      <w:r>
        <w:t>Nenhuma imagem sem funcao narrativa.</w:t>
      </w:r>
    </w:p>
    <w:p>
      <w:pPr>
        <w:pStyle w:val="ListBullet"/>
      </w:pPr>
      <w:r>
        <w:t>Dados/estatisticas aprovados pelo negocio.</w:t>
      </w:r>
    </w:p>
    <w:p>
      <w:pPr>
        <w:pStyle w:val="ListBullet"/>
      </w:pPr>
      <w:r>
        <w:t>FAQ acessivel e navegavel por teclado.</w:t>
      </w:r>
    </w:p>
    <w:p>
      <w:pPr>
        <w:pStyle w:val="ListBullet"/>
      </w:pPr>
      <w:r>
        <w:t>Core Web Vitals dentro das metas.</w:t>
      </w:r>
    </w:p>
    <w:p>
      <w:pPr>
        <w:pStyle w:val="ListBullet"/>
      </w:pPr>
      <w:r>
        <w:t>Analytics em CTA, request mission, operator signup e API interest.</w:t>
      </w:r>
    </w:p>
    <w:p>
      <w:pPr>
        <w:pStyle w:val="ListBullet"/>
      </w:pPr>
      <w:r>
        <w:t>SEO metadata, OG image e schema definidos.</w:t>
      </w:r>
    </w:p>
    <w:p>
      <w:pPr>
        <w:pStyle w:val="ListBullet"/>
      </w:pPr>
      <w:r>
        <w:t>Copy revisada para consistencia: “dados / missao / operador / entrega / integracao”.</w:t>
      </w:r>
    </w:p>
    <w:p>
      <w:pPr>
        <w:pStyle w:val="Heading1"/>
      </w:pPr>
      <w:r>
        <w:rPr>
          <w:color w:val="111111"/>
        </w:rPr>
        <w:t>32. Conclusao</w:t>
      </w:r>
    </w:p>
    <w:p>
      <w:pPr>
        <w:pStyle w:val="BodyText"/>
      </w:pPr>
      <w:r>
        <w:t>A assinatura visual da referencia nao esta em “copiar roxo e verde”. Ela esta na disciplina: tipografia grande, layout editorial, muito espaco negativo, produto em evidencia, fotografia tecnica, uma narrativa por bloco e componentes quase sem ornamentacao. Para a OEST, o equivalente premium e usar azul institucional, superficies brancas/gelo, verde de acao e amarelo como assinatura, preservando o mesmo grau de clareza e tensao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97"/>
            <w:shd w:fill="2A57B8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4997"/>
            <w:shd w:fill="EAF1F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b/>
                <w:color w:val="111111"/>
                <w:sz w:val="22"/>
              </w:rPr>
              <w:t>Direcao final</w:t>
              <w:br/>
            </w:r>
            <w:r>
              <w:rPr>
                <w:color w:val="3C3C3C"/>
                <w:sz w:val="18"/>
              </w:rPr>
              <w:t>OEST deve parecer menos “site de empresa de drone” e mais uma infraestrutura enterprise para solicitar, operar e integrar dados do mundo fisico.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11111"/>
        </w:rPr>
        <w:t>33. Fontes de referencia</w:t>
      </w:r>
    </w:p>
    <w:p>
      <w:pPr>
        <w:pStyle w:val="BodyText"/>
      </w:pPr>
      <w:r>
        <w:t>1. Screenshot fornecido pelo usuario — base principal para medicao visual e reverse engineering.</w:t>
      </w:r>
    </w:p>
    <w:p>
      <w:pPr>
        <w:pStyle w:val="BodyText"/>
      </w:pPr>
      <w:r>
        <w:t>2. Estrutura publica da pagina GLOBHE — usada apenas para validar a ordem e o papel narrativo das secoes. O dossie nao replica codigo, assets proprietarios ou implementacao da referencia.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6"/>
      </w:rPr>
      <w:t xml:space="preserve">OEST · LP Design System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